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50E" w:rsidRDefault="0080250E" w:rsidP="0080250E">
      <w:pPr>
        <w:spacing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Компле</w:t>
      </w:r>
      <w:r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 xml:space="preserve">ксный экзамен </w:t>
      </w: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по специальности – «Теология»</w:t>
      </w:r>
      <w:r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 xml:space="preserve"> </w:t>
      </w:r>
    </w:p>
    <w:p w:rsidR="0080250E" w:rsidRPr="006608BF" w:rsidRDefault="0080250E" w:rsidP="0080250E">
      <w:pPr>
        <w:spacing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для абитуриентов магистратуры</w:t>
      </w:r>
    </w:p>
    <w:p w:rsidR="0080250E" w:rsidRDefault="0080250E" w:rsidP="0080250E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Казанской православной духовной семинарии</w:t>
      </w:r>
    </w:p>
    <w:p w:rsidR="0080250E" w:rsidRPr="006608BF" w:rsidRDefault="0080250E" w:rsidP="0080250E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Профиль «</w:t>
      </w:r>
      <w:r w:rsidR="00984EB3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История Церкви</w:t>
      </w:r>
      <w:bookmarkStart w:id="0" w:name="_GoBack"/>
      <w:bookmarkEnd w:id="0"/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»</w:t>
      </w:r>
    </w:p>
    <w:p w:rsidR="0080250E" w:rsidRDefault="0080250E" w:rsidP="0080250E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</w:p>
    <w:p w:rsidR="0080250E" w:rsidRPr="006608BF" w:rsidRDefault="0080250E" w:rsidP="0080250E">
      <w:pPr>
        <w:spacing w:after="200" w:line="276" w:lineRule="auto"/>
        <w:ind w:firstLine="720"/>
        <w:jc w:val="center"/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6608BF">
        <w:rPr>
          <w:rFonts w:ascii="Times" w:eastAsiaTheme="minorHAnsi" w:hAnsi="Times" w:cs="Times"/>
          <w:b/>
          <w:color w:val="1F497D" w:themeColor="text2"/>
          <w:sz w:val="28"/>
          <w:szCs w:val="28"/>
          <w:shd w:val="clear" w:color="auto" w:fill="FFFFFF"/>
          <w:lang w:eastAsia="en-US"/>
        </w:rPr>
        <w:t>ЭКЗАМЕНАЦИОННЫЕ ВОПРОСЫ</w:t>
      </w:r>
    </w:p>
    <w:p w:rsidR="0080250E" w:rsidRPr="006608BF" w:rsidRDefault="0080250E" w:rsidP="0080250E">
      <w:pPr>
        <w:spacing w:after="200" w:line="276" w:lineRule="auto"/>
        <w:ind w:firstLine="720"/>
        <w:rPr>
          <w:rFonts w:eastAsiaTheme="minorHAnsi"/>
          <w:b/>
          <w:sz w:val="28"/>
          <w:szCs w:val="28"/>
          <w:lang w:eastAsia="en-US"/>
        </w:rPr>
      </w:pPr>
    </w:p>
    <w:p w:rsidR="0080250E" w:rsidRDefault="0080250E" w:rsidP="0080250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6608BF">
        <w:rPr>
          <w:rFonts w:eastAsiaTheme="minorHAnsi"/>
          <w:b/>
          <w:color w:val="1F497D" w:themeColor="text2"/>
          <w:sz w:val="28"/>
          <w:szCs w:val="28"/>
          <w:lang w:eastAsia="en-US"/>
        </w:rPr>
        <w:t>Ветхий Завет</w:t>
      </w:r>
    </w:p>
    <w:p w:rsidR="0080250E" w:rsidRDefault="0080250E" w:rsidP="0080250E">
      <w:pPr>
        <w:spacing w:line="276" w:lineRule="exact"/>
        <w:rPr>
          <w:sz w:val="24"/>
          <w:szCs w:val="24"/>
        </w:rPr>
      </w:pP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6608BF">
        <w:rPr>
          <w:rFonts w:eastAsia="Times New Roman"/>
          <w:b/>
          <w:bCs/>
          <w:iCs/>
          <w:sz w:val="28"/>
          <w:szCs w:val="28"/>
        </w:rPr>
        <w:t xml:space="preserve">Вопросы по </w:t>
      </w:r>
      <w:proofErr w:type="spellStart"/>
      <w:r w:rsidRPr="006608BF">
        <w:rPr>
          <w:rFonts w:eastAsia="Times New Roman"/>
          <w:b/>
          <w:bCs/>
          <w:iCs/>
          <w:sz w:val="28"/>
          <w:szCs w:val="28"/>
        </w:rPr>
        <w:t>исагогике</w:t>
      </w:r>
      <w:proofErr w:type="spellEnd"/>
    </w:p>
    <w:p w:rsidR="0080250E" w:rsidRPr="006608BF" w:rsidRDefault="0080250E" w:rsidP="0080250E">
      <w:pPr>
        <w:ind w:firstLine="709"/>
        <w:jc w:val="both"/>
        <w:rPr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0"/>
        </w:tabs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История формирования канона в ветхозаветный и </w:t>
      </w:r>
      <w:proofErr w:type="spellStart"/>
      <w:r w:rsidRPr="006608BF">
        <w:rPr>
          <w:rFonts w:eastAsia="Times New Roman"/>
          <w:sz w:val="28"/>
          <w:szCs w:val="28"/>
        </w:rPr>
        <w:t>межзаветный</w:t>
      </w:r>
      <w:proofErr w:type="spellEnd"/>
      <w:r w:rsidRPr="006608BF">
        <w:rPr>
          <w:rFonts w:eastAsia="Times New Roman"/>
          <w:sz w:val="28"/>
          <w:szCs w:val="28"/>
        </w:rPr>
        <w:t xml:space="preserve"> период.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История канона Священного Писания Ветхого Завета в христианской традиции: канон в Древней Церкви; канон в католичестве, протестантизме и православии.</w:t>
      </w:r>
    </w:p>
    <w:p w:rsidR="0080250E" w:rsidRPr="006608BF" w:rsidRDefault="0080250E" w:rsidP="0080250E">
      <w:pPr>
        <w:spacing w:line="11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История еврейского текста Священного Писания: </w:t>
      </w:r>
      <w:proofErr w:type="spellStart"/>
      <w:r w:rsidRPr="006608BF">
        <w:rPr>
          <w:rFonts w:eastAsia="Times New Roman"/>
          <w:sz w:val="28"/>
          <w:szCs w:val="28"/>
        </w:rPr>
        <w:t>масоретский</w:t>
      </w:r>
      <w:proofErr w:type="spellEnd"/>
      <w:r w:rsidRPr="006608BF">
        <w:rPr>
          <w:rFonts w:eastAsia="Times New Roman"/>
          <w:sz w:val="28"/>
          <w:szCs w:val="28"/>
        </w:rPr>
        <w:t xml:space="preserve"> текст, Самаритянское Пятикнижие, кумранские рукописи.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Важнейшие древние переводы Священного Писания: Септуагинта и другие древнегреческие переводы; Вульгата; </w:t>
      </w:r>
      <w:proofErr w:type="spellStart"/>
      <w:r w:rsidRPr="006608BF">
        <w:rPr>
          <w:rFonts w:eastAsia="Times New Roman"/>
          <w:sz w:val="28"/>
          <w:szCs w:val="28"/>
        </w:rPr>
        <w:t>Пешитто</w:t>
      </w:r>
      <w:proofErr w:type="spellEnd"/>
      <w:r w:rsidRPr="006608BF">
        <w:rPr>
          <w:rFonts w:eastAsia="Times New Roman"/>
          <w:sz w:val="28"/>
          <w:szCs w:val="28"/>
        </w:rPr>
        <w:t xml:space="preserve">, арамейские </w:t>
      </w:r>
      <w:proofErr w:type="spellStart"/>
      <w:r w:rsidRPr="006608BF">
        <w:rPr>
          <w:rFonts w:eastAsia="Times New Roman"/>
          <w:sz w:val="28"/>
          <w:szCs w:val="28"/>
        </w:rPr>
        <w:t>таргумы</w:t>
      </w:r>
      <w:proofErr w:type="spellEnd"/>
      <w:r w:rsidRPr="006608BF">
        <w:rPr>
          <w:rFonts w:eastAsia="Times New Roman"/>
          <w:sz w:val="28"/>
          <w:szCs w:val="28"/>
        </w:rPr>
        <w:t>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История перевода Священного Писания Ветхого Завета на церковно-славянский язык: кирилло-мефодиевская традиция; </w:t>
      </w:r>
      <w:proofErr w:type="spellStart"/>
      <w:r w:rsidRPr="006608BF">
        <w:rPr>
          <w:rFonts w:eastAsia="Times New Roman"/>
          <w:sz w:val="28"/>
          <w:szCs w:val="28"/>
        </w:rPr>
        <w:t>Геннадиевская</w:t>
      </w:r>
      <w:proofErr w:type="spellEnd"/>
      <w:r w:rsidRPr="006608BF">
        <w:rPr>
          <w:rFonts w:eastAsia="Times New Roman"/>
          <w:sz w:val="28"/>
          <w:szCs w:val="28"/>
        </w:rPr>
        <w:t xml:space="preserve"> Библия; Острожская Библия; Елизаветинская Библия.</w:t>
      </w:r>
    </w:p>
    <w:p w:rsidR="0080250E" w:rsidRPr="006608BF" w:rsidRDefault="0080250E" w:rsidP="0080250E">
      <w:pPr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Default="0080250E" w:rsidP="0080250E">
      <w:pPr>
        <w:numPr>
          <w:ilvl w:val="0"/>
          <w:numId w:val="1"/>
        </w:numPr>
        <w:tabs>
          <w:tab w:val="left" w:pos="68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История перевода Священного Писания Ветхого Завета на русский язык: перевод РБО; перевод прот. Герасима Павского; перевод </w:t>
      </w:r>
      <w:proofErr w:type="spellStart"/>
      <w:r w:rsidRPr="006608BF">
        <w:rPr>
          <w:rFonts w:eastAsia="Times New Roman"/>
          <w:sz w:val="28"/>
          <w:szCs w:val="28"/>
        </w:rPr>
        <w:t>архим</w:t>
      </w:r>
      <w:proofErr w:type="spellEnd"/>
      <w:r w:rsidRPr="006608BF">
        <w:rPr>
          <w:rFonts w:eastAsia="Times New Roman"/>
          <w:sz w:val="28"/>
          <w:szCs w:val="28"/>
        </w:rPr>
        <w:t>. Макария (Глухарёва); Синодальный перевод.</w:t>
      </w:r>
    </w:p>
    <w:p w:rsidR="0080250E" w:rsidRDefault="0080250E" w:rsidP="0080250E">
      <w:pPr>
        <w:pStyle w:val="a3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tabs>
          <w:tab w:val="left" w:pos="687"/>
        </w:tabs>
        <w:spacing w:line="236" w:lineRule="auto"/>
        <w:ind w:left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spacing w:line="6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6608BF">
        <w:rPr>
          <w:rFonts w:eastAsia="Times New Roman"/>
          <w:b/>
          <w:bCs/>
          <w:iCs/>
          <w:sz w:val="28"/>
          <w:szCs w:val="28"/>
        </w:rPr>
        <w:t xml:space="preserve">Вопросы по </w:t>
      </w:r>
      <w:proofErr w:type="spellStart"/>
      <w:r w:rsidRPr="006608BF">
        <w:rPr>
          <w:rFonts w:eastAsia="Times New Roman"/>
          <w:b/>
          <w:bCs/>
          <w:iCs/>
          <w:sz w:val="28"/>
          <w:szCs w:val="28"/>
        </w:rPr>
        <w:t>законоположительным</w:t>
      </w:r>
      <w:proofErr w:type="spellEnd"/>
      <w:r w:rsidRPr="006608BF">
        <w:rPr>
          <w:rFonts w:eastAsia="Times New Roman"/>
          <w:b/>
          <w:bCs/>
          <w:iCs/>
          <w:sz w:val="28"/>
          <w:szCs w:val="28"/>
        </w:rPr>
        <w:t xml:space="preserve"> книгам</w:t>
      </w:r>
    </w:p>
    <w:p w:rsidR="0080250E" w:rsidRPr="006608BF" w:rsidRDefault="0080250E" w:rsidP="0080250E">
      <w:pPr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spacing w:line="7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Общие сведения о Пятикнижии: состав и структура текстов. Теории об авторстве и происхождении Пятикнижия. Понятие Завета.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Бытия: </w:t>
      </w:r>
      <w:proofErr w:type="spellStart"/>
      <w:r w:rsidRPr="006608BF">
        <w:rPr>
          <w:rFonts w:eastAsia="Times New Roman"/>
          <w:sz w:val="28"/>
          <w:szCs w:val="28"/>
        </w:rPr>
        <w:t>исагогические</w:t>
      </w:r>
      <w:proofErr w:type="spellEnd"/>
      <w:r w:rsidRPr="006608BF">
        <w:rPr>
          <w:rFonts w:eastAsia="Times New Roman"/>
          <w:sz w:val="28"/>
          <w:szCs w:val="28"/>
        </w:rPr>
        <w:t xml:space="preserve"> сведения и содержание. Книга Бытия о происхождении мира и человека. Грехопадение. Ветхозаветные патриархи. Библейская хронология.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Исход: </w:t>
      </w:r>
      <w:proofErr w:type="spellStart"/>
      <w:r w:rsidRPr="006608BF">
        <w:rPr>
          <w:rFonts w:eastAsia="Times New Roman"/>
          <w:sz w:val="28"/>
          <w:szCs w:val="28"/>
        </w:rPr>
        <w:t>исагогические</w:t>
      </w:r>
      <w:proofErr w:type="spellEnd"/>
      <w:r w:rsidRPr="006608BF">
        <w:rPr>
          <w:rFonts w:eastAsia="Times New Roman"/>
          <w:sz w:val="28"/>
          <w:szCs w:val="28"/>
        </w:rPr>
        <w:t xml:space="preserve"> сведения и соде</w:t>
      </w:r>
      <w:r>
        <w:rPr>
          <w:rFonts w:eastAsia="Times New Roman"/>
          <w:sz w:val="28"/>
          <w:szCs w:val="28"/>
        </w:rPr>
        <w:t xml:space="preserve">ржание. </w:t>
      </w:r>
      <w:r w:rsidRPr="006608BF">
        <w:rPr>
          <w:rFonts w:eastAsia="Times New Roman"/>
          <w:sz w:val="28"/>
          <w:szCs w:val="28"/>
        </w:rPr>
        <w:t>Имена Божии в Ветхом Завете: основная классификация и их этимологическое значение.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lastRenderedPageBreak/>
        <w:t xml:space="preserve">Книга Левит: </w:t>
      </w:r>
      <w:proofErr w:type="spellStart"/>
      <w:r w:rsidRPr="006608BF">
        <w:rPr>
          <w:rFonts w:eastAsia="Times New Roman"/>
          <w:sz w:val="28"/>
          <w:szCs w:val="28"/>
        </w:rPr>
        <w:t>исагогические</w:t>
      </w:r>
      <w:proofErr w:type="spellEnd"/>
      <w:r w:rsidRPr="006608BF">
        <w:rPr>
          <w:rFonts w:eastAsia="Times New Roman"/>
          <w:sz w:val="28"/>
          <w:szCs w:val="28"/>
        </w:rPr>
        <w:t xml:space="preserve"> сведения и содержание. Смысл ветхозаветных жертв и их </w:t>
      </w:r>
      <w:proofErr w:type="spellStart"/>
      <w:r w:rsidRPr="006608BF">
        <w:rPr>
          <w:rFonts w:eastAsia="Times New Roman"/>
          <w:sz w:val="28"/>
          <w:szCs w:val="28"/>
        </w:rPr>
        <w:t>прообразовательное</w:t>
      </w:r>
      <w:proofErr w:type="spellEnd"/>
      <w:r w:rsidRPr="006608BF">
        <w:rPr>
          <w:rFonts w:eastAsia="Times New Roman"/>
          <w:sz w:val="28"/>
          <w:szCs w:val="28"/>
        </w:rPr>
        <w:t xml:space="preserve"> значение.</w:t>
      </w:r>
    </w:p>
    <w:p w:rsidR="0080250E" w:rsidRPr="006608BF" w:rsidRDefault="0080250E" w:rsidP="0080250E">
      <w:pPr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Чисел: </w:t>
      </w:r>
      <w:proofErr w:type="spellStart"/>
      <w:r w:rsidRPr="006608BF">
        <w:rPr>
          <w:rFonts w:eastAsia="Times New Roman"/>
          <w:sz w:val="28"/>
          <w:szCs w:val="28"/>
        </w:rPr>
        <w:t>исагогические</w:t>
      </w:r>
      <w:proofErr w:type="spellEnd"/>
      <w:r w:rsidRPr="006608BF">
        <w:rPr>
          <w:rFonts w:eastAsia="Times New Roman"/>
          <w:sz w:val="28"/>
          <w:szCs w:val="28"/>
        </w:rPr>
        <w:t xml:space="preserve"> сведения и содержание. Понятие святости в Ветхом Завете.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Второзаконие: </w:t>
      </w:r>
      <w:proofErr w:type="spellStart"/>
      <w:r w:rsidRPr="006608BF">
        <w:rPr>
          <w:rFonts w:eastAsia="Times New Roman"/>
          <w:sz w:val="28"/>
          <w:szCs w:val="28"/>
        </w:rPr>
        <w:t>исагогические</w:t>
      </w:r>
      <w:proofErr w:type="spellEnd"/>
      <w:r w:rsidRPr="006608BF">
        <w:rPr>
          <w:rFonts w:eastAsia="Times New Roman"/>
          <w:sz w:val="28"/>
          <w:szCs w:val="28"/>
        </w:rPr>
        <w:t xml:space="preserve"> сведения и содержание. Богословское значение ветхозаветного закона.</w:t>
      </w:r>
    </w:p>
    <w:p w:rsidR="0080250E" w:rsidRDefault="0080250E" w:rsidP="0080250E">
      <w:pPr>
        <w:pStyle w:val="a3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tabs>
          <w:tab w:val="left" w:pos="687"/>
        </w:tabs>
        <w:spacing w:line="234" w:lineRule="auto"/>
        <w:ind w:left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spacing w:line="6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6608BF">
        <w:rPr>
          <w:rFonts w:eastAsia="Times New Roman"/>
          <w:b/>
          <w:bCs/>
          <w:iCs/>
          <w:sz w:val="28"/>
          <w:szCs w:val="28"/>
        </w:rPr>
        <w:t>Вопросы по историческим книгам</w:t>
      </w:r>
    </w:p>
    <w:p w:rsidR="0080250E" w:rsidRPr="006608BF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</w:p>
    <w:p w:rsidR="0080250E" w:rsidRPr="006608BF" w:rsidRDefault="0080250E" w:rsidP="0080250E">
      <w:pPr>
        <w:spacing w:line="7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Исторические книги в Септуагинте и Еврейской Библии. Особенности изложения истории в Священном Писании Ветхого Завета (Библия и история).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Первая и вторая книги Царств: Название, автор и время написания. Композиция книг и обзор содержания. Богословские темы 1 и 2 книг Царств.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Третья и четвёртая книги Царств: Название, автор и время написания. Вопрос хронологии в книгах Царств. Композиция книг и обзор содержания. Богословские темы 3 и 4 книг Царств.</w:t>
      </w:r>
    </w:p>
    <w:p w:rsidR="0080250E" w:rsidRPr="006608BF" w:rsidRDefault="0080250E" w:rsidP="0080250E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Первая и вторая книги Паралипоменон: название, автор и время написания. Особенности изложения истории в этих книгах: богословские акценты и значение. Композиция книг и обзор содержания.</w:t>
      </w:r>
    </w:p>
    <w:p w:rsidR="0080250E" w:rsidRPr="006608BF" w:rsidRDefault="0080250E" w:rsidP="0080250E">
      <w:pPr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Первая книга Ездры и книга </w:t>
      </w:r>
      <w:proofErr w:type="spellStart"/>
      <w:r w:rsidRPr="006608BF">
        <w:rPr>
          <w:rFonts w:eastAsia="Times New Roman"/>
          <w:sz w:val="28"/>
          <w:szCs w:val="28"/>
        </w:rPr>
        <w:t>Неемии</w:t>
      </w:r>
      <w:proofErr w:type="spellEnd"/>
      <w:r w:rsidRPr="006608BF">
        <w:rPr>
          <w:rFonts w:eastAsia="Times New Roman"/>
          <w:sz w:val="28"/>
          <w:szCs w:val="28"/>
        </w:rPr>
        <w:t xml:space="preserve">: Название, автор и время написания. Деление книг. Композиция книг и обзор содержания. Источники книг. Исторические и хронологические проблемы. Богословские темы книг 1 Ездры и </w:t>
      </w:r>
      <w:proofErr w:type="spellStart"/>
      <w:r w:rsidRPr="006608BF">
        <w:rPr>
          <w:rFonts w:eastAsia="Times New Roman"/>
          <w:sz w:val="28"/>
          <w:szCs w:val="28"/>
        </w:rPr>
        <w:t>Неемии</w:t>
      </w:r>
      <w:proofErr w:type="spellEnd"/>
      <w:r w:rsidRPr="006608BF">
        <w:rPr>
          <w:rFonts w:eastAsia="Times New Roman"/>
          <w:sz w:val="28"/>
          <w:szCs w:val="28"/>
        </w:rPr>
        <w:t xml:space="preserve">. Роль и значение деятельности Ездры и </w:t>
      </w:r>
      <w:proofErr w:type="spellStart"/>
      <w:r w:rsidRPr="006608BF">
        <w:rPr>
          <w:rFonts w:eastAsia="Times New Roman"/>
          <w:sz w:val="28"/>
          <w:szCs w:val="28"/>
        </w:rPr>
        <w:t>Неемии</w:t>
      </w:r>
      <w:proofErr w:type="spellEnd"/>
      <w:r w:rsidRPr="006608BF">
        <w:rPr>
          <w:rFonts w:eastAsia="Times New Roman"/>
          <w:sz w:val="28"/>
          <w:szCs w:val="28"/>
        </w:rPr>
        <w:t>.</w:t>
      </w:r>
    </w:p>
    <w:p w:rsidR="0080250E" w:rsidRPr="006608BF" w:rsidRDefault="0080250E" w:rsidP="0080250E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80250E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Обзор основных событий в период Второго Храма.</w:t>
      </w:r>
    </w:p>
    <w:p w:rsidR="0080250E" w:rsidRDefault="0080250E" w:rsidP="0080250E">
      <w:pPr>
        <w:pStyle w:val="a3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tabs>
          <w:tab w:val="left" w:pos="680"/>
        </w:tabs>
        <w:ind w:left="709"/>
        <w:jc w:val="both"/>
        <w:rPr>
          <w:rFonts w:eastAsia="Times New Roman"/>
          <w:sz w:val="28"/>
          <w:szCs w:val="28"/>
        </w:rPr>
      </w:pPr>
    </w:p>
    <w:p w:rsidR="0080250E" w:rsidRPr="006608BF" w:rsidRDefault="0080250E" w:rsidP="0080250E">
      <w:pPr>
        <w:spacing w:line="5" w:lineRule="exact"/>
        <w:ind w:firstLine="709"/>
        <w:jc w:val="both"/>
        <w:rPr>
          <w:sz w:val="28"/>
          <w:szCs w:val="28"/>
        </w:rPr>
      </w:pP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6608BF">
        <w:rPr>
          <w:rFonts w:eastAsia="Times New Roman"/>
          <w:b/>
          <w:bCs/>
          <w:iCs/>
          <w:sz w:val="28"/>
          <w:szCs w:val="28"/>
        </w:rPr>
        <w:t>Вопросы по пророческим книгам</w:t>
      </w:r>
    </w:p>
    <w:p w:rsidR="0080250E" w:rsidRPr="006608BF" w:rsidRDefault="0080250E" w:rsidP="0080250E">
      <w:pPr>
        <w:ind w:firstLine="709"/>
        <w:jc w:val="both"/>
        <w:rPr>
          <w:sz w:val="28"/>
          <w:szCs w:val="28"/>
        </w:rPr>
      </w:pPr>
    </w:p>
    <w:p w:rsidR="0080250E" w:rsidRPr="006608BF" w:rsidRDefault="0080250E" w:rsidP="0080250E">
      <w:pPr>
        <w:spacing w:line="7" w:lineRule="exact"/>
        <w:ind w:firstLine="709"/>
        <w:jc w:val="both"/>
        <w:rPr>
          <w:sz w:val="28"/>
          <w:szCs w:val="28"/>
        </w:rPr>
      </w:pPr>
    </w:p>
    <w:p w:rsidR="0080250E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Пророческие книги Библии: раздел «пророков» в еврейской и христианской Библии. Служение пророков в Ветхом Завете. Этимология термина «пророк» в Еврейской Библии и Септуагинте. Призвание и посвящение пророка; характер пророческого откровения; библейский подход к проблеме истинного и ложного пророчества.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Периодизация и характеристика пророческого служения.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пророка Исаии: проблема авторства и датировки 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пророка Иеремии. Основные сведения о пророке и его книге. 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пророка </w:t>
      </w:r>
      <w:proofErr w:type="spellStart"/>
      <w:r w:rsidRPr="006608BF">
        <w:rPr>
          <w:rFonts w:eastAsia="Times New Roman"/>
          <w:sz w:val="28"/>
          <w:szCs w:val="28"/>
        </w:rPr>
        <w:t>Иезекииля</w:t>
      </w:r>
      <w:proofErr w:type="spellEnd"/>
      <w:r w:rsidRPr="006608BF">
        <w:rPr>
          <w:rFonts w:eastAsia="Times New Roman"/>
          <w:sz w:val="28"/>
          <w:szCs w:val="28"/>
        </w:rPr>
        <w:t xml:space="preserve">. Основные сведения о пророке и его книге. 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пророка Даниила: проблема жанра и датировки. </w:t>
      </w: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</w:p>
    <w:p w:rsidR="0080250E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6608BF">
        <w:rPr>
          <w:rFonts w:eastAsia="Times New Roman"/>
          <w:b/>
          <w:bCs/>
          <w:iCs/>
          <w:sz w:val="28"/>
          <w:szCs w:val="28"/>
        </w:rPr>
        <w:lastRenderedPageBreak/>
        <w:t>Вопросы по учительным книгам</w:t>
      </w:r>
    </w:p>
    <w:p w:rsidR="0080250E" w:rsidRPr="006608BF" w:rsidRDefault="0080250E" w:rsidP="0080250E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</w:p>
    <w:p w:rsidR="0080250E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Учительные книги Ветхого Завета: состав, классификация и место в каноне. Главный предмет и литературный жанр Учительных книг. </w:t>
      </w:r>
    </w:p>
    <w:p w:rsidR="0080250E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Иова: название, автор и время происхождения. Вопрос происхождения и достоверности образа Иова. Литературный жанр и главная тема книги. </w:t>
      </w:r>
      <w:proofErr w:type="spellStart"/>
      <w:r w:rsidRPr="006608BF">
        <w:rPr>
          <w:rFonts w:eastAsia="Times New Roman"/>
          <w:sz w:val="28"/>
          <w:szCs w:val="28"/>
        </w:rPr>
        <w:t>Прообразовательное</w:t>
      </w:r>
      <w:proofErr w:type="spellEnd"/>
      <w:r w:rsidRPr="006608BF">
        <w:rPr>
          <w:rFonts w:eastAsia="Times New Roman"/>
          <w:sz w:val="28"/>
          <w:szCs w:val="28"/>
        </w:rPr>
        <w:t xml:space="preserve"> и нравоучительное (</w:t>
      </w:r>
      <w:proofErr w:type="spellStart"/>
      <w:r w:rsidRPr="006608BF">
        <w:rPr>
          <w:rFonts w:eastAsia="Times New Roman"/>
          <w:sz w:val="28"/>
          <w:szCs w:val="28"/>
        </w:rPr>
        <w:t>Иак</w:t>
      </w:r>
      <w:proofErr w:type="spellEnd"/>
      <w:r w:rsidRPr="006608BF">
        <w:rPr>
          <w:rFonts w:eastAsia="Times New Roman"/>
          <w:sz w:val="28"/>
          <w:szCs w:val="28"/>
        </w:rPr>
        <w:t xml:space="preserve">. 5:10-11) значение жизни Иова. 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Псалтирь: название, вопрос авторства и времени происхождения псалмов. Основные группы псалмов по их содержанию и литературной форме. Основные мессианские пророчества Псалтири: </w:t>
      </w:r>
      <w:proofErr w:type="spellStart"/>
      <w:r w:rsidRPr="006608BF">
        <w:rPr>
          <w:rFonts w:eastAsia="Times New Roman"/>
          <w:sz w:val="28"/>
          <w:szCs w:val="28"/>
        </w:rPr>
        <w:t>Пс</w:t>
      </w:r>
      <w:proofErr w:type="spellEnd"/>
      <w:r w:rsidRPr="006608BF">
        <w:rPr>
          <w:rFonts w:eastAsia="Times New Roman"/>
          <w:sz w:val="28"/>
          <w:szCs w:val="28"/>
        </w:rPr>
        <w:t>. 2; 8; 15; 21; 23; 39; 44; 67; 68; 71; 94; 96; 108; 109; 117.</w:t>
      </w:r>
    </w:p>
    <w:p w:rsidR="0080250E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Книга Притчей Соломоновых: название, состав и общее содержание. Вопрос авторства и времени происхождения. Каноническое достоинство книги. 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Книга Екклесиаста: название, автор и время происхождения. Каноническое достоинство книги. Обзор содержания книги Екклесиаста. Богословие книги.</w:t>
      </w:r>
    </w:p>
    <w:p w:rsidR="0080250E" w:rsidRPr="006608BF" w:rsidRDefault="0080250E" w:rsidP="0080250E">
      <w:pPr>
        <w:numPr>
          <w:ilvl w:val="0"/>
          <w:numId w:val="1"/>
        </w:numPr>
        <w:tabs>
          <w:tab w:val="left" w:pos="687"/>
        </w:tabs>
        <w:ind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Песнь Песней Соломона: название, вопрос авторства и времени происхождения. Каноническое достоинство книги. Обзор методов толкования.</w:t>
      </w:r>
    </w:p>
    <w:p w:rsidR="0080250E" w:rsidRDefault="0080250E" w:rsidP="0080250E">
      <w:pPr>
        <w:spacing w:line="283" w:lineRule="exact"/>
        <w:rPr>
          <w:sz w:val="20"/>
          <w:szCs w:val="20"/>
        </w:rPr>
      </w:pPr>
    </w:p>
    <w:p w:rsidR="0080250E" w:rsidRDefault="0080250E" w:rsidP="0080250E">
      <w:pPr>
        <w:ind w:right="-259"/>
        <w:jc w:val="center"/>
        <w:rPr>
          <w:rFonts w:eastAsiaTheme="minorHAnsi"/>
          <w:b/>
          <w:color w:val="1F497D" w:themeColor="text2"/>
          <w:sz w:val="28"/>
          <w:szCs w:val="28"/>
          <w:lang w:eastAsia="en-US"/>
        </w:rPr>
      </w:pPr>
      <w:r>
        <w:rPr>
          <w:rFonts w:eastAsiaTheme="minorHAnsi"/>
          <w:b/>
          <w:color w:val="1F497D" w:themeColor="text2"/>
          <w:sz w:val="28"/>
          <w:szCs w:val="28"/>
          <w:lang w:eastAsia="en-US"/>
        </w:rPr>
        <w:t>Новый</w:t>
      </w:r>
      <w:r w:rsidRPr="006608BF">
        <w:rPr>
          <w:rFonts w:eastAsiaTheme="minorHAnsi"/>
          <w:b/>
          <w:color w:val="1F497D" w:themeColor="text2"/>
          <w:sz w:val="28"/>
          <w:szCs w:val="28"/>
          <w:lang w:eastAsia="en-US"/>
        </w:rPr>
        <w:t xml:space="preserve"> Завет</w:t>
      </w:r>
    </w:p>
    <w:p w:rsidR="0080250E" w:rsidRDefault="0080250E" w:rsidP="0080250E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80250E" w:rsidRDefault="0080250E" w:rsidP="0080250E">
      <w:pPr>
        <w:spacing w:line="7" w:lineRule="exact"/>
        <w:rPr>
          <w:sz w:val="20"/>
          <w:szCs w:val="20"/>
        </w:rPr>
      </w:pP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 </w:t>
      </w:r>
      <w:proofErr w:type="spellStart"/>
      <w:r w:rsidRPr="006608BF">
        <w:rPr>
          <w:rFonts w:eastAsia="Times New Roman"/>
          <w:sz w:val="28"/>
          <w:szCs w:val="28"/>
        </w:rPr>
        <w:t>богодухновености</w:t>
      </w:r>
      <w:proofErr w:type="spellEnd"/>
      <w:r w:rsidRPr="006608BF">
        <w:rPr>
          <w:rFonts w:eastAsia="Times New Roman"/>
          <w:sz w:val="28"/>
          <w:szCs w:val="28"/>
        </w:rPr>
        <w:t xml:space="preserve"> Священного Писания: различные интерпретации. 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Краткая характеристика основных этапов формирования канона Священного Писания Нового Завета.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Синоптическая проблема и варианты её решения в библейской науке.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Пролог Евангелия от Иоанна (1:1-18): структура фрагмента, богословский смысл терминов «Слово», «Единородный Сын», «Сущий в </w:t>
      </w:r>
      <w:proofErr w:type="spellStart"/>
      <w:r w:rsidRPr="006608BF">
        <w:rPr>
          <w:rFonts w:eastAsia="Times New Roman"/>
          <w:sz w:val="28"/>
          <w:szCs w:val="28"/>
        </w:rPr>
        <w:t>недре</w:t>
      </w:r>
      <w:proofErr w:type="spellEnd"/>
      <w:r w:rsidRPr="006608BF">
        <w:rPr>
          <w:rFonts w:eastAsia="Times New Roman"/>
          <w:sz w:val="28"/>
          <w:szCs w:val="28"/>
        </w:rPr>
        <w:t xml:space="preserve"> Отца», краткая экзегеза пролога.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Толкование  ветхозаветного  закона  в  Нагорной  проповеди  Господа  Иисуса  Христа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(Мф. 5:17-48).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Экзегеза евангельских притч о блудном сыне (</w:t>
      </w:r>
      <w:proofErr w:type="spellStart"/>
      <w:r w:rsidRPr="006608BF">
        <w:rPr>
          <w:rFonts w:eastAsia="Times New Roman"/>
          <w:sz w:val="28"/>
          <w:szCs w:val="28"/>
        </w:rPr>
        <w:t>Лк</w:t>
      </w:r>
      <w:proofErr w:type="spellEnd"/>
      <w:r w:rsidRPr="006608BF">
        <w:rPr>
          <w:rFonts w:eastAsia="Times New Roman"/>
          <w:sz w:val="28"/>
          <w:szCs w:val="28"/>
        </w:rPr>
        <w:t>. 15:11-32) и милосердном самарянине (</w:t>
      </w:r>
      <w:proofErr w:type="spellStart"/>
      <w:r w:rsidRPr="006608BF">
        <w:rPr>
          <w:rFonts w:eastAsia="Times New Roman"/>
          <w:sz w:val="28"/>
          <w:szCs w:val="28"/>
        </w:rPr>
        <w:t>Лк</w:t>
      </w:r>
      <w:proofErr w:type="spellEnd"/>
      <w:r w:rsidRPr="006608BF">
        <w:rPr>
          <w:rFonts w:eastAsia="Times New Roman"/>
          <w:sz w:val="28"/>
          <w:szCs w:val="28"/>
        </w:rPr>
        <w:t>. 10:25-37).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 xml:space="preserve">Исповедание ап. Петра (Мф. 16:16; </w:t>
      </w:r>
      <w:proofErr w:type="spellStart"/>
      <w:r w:rsidRPr="001715CD">
        <w:rPr>
          <w:rFonts w:eastAsia="Times New Roman"/>
          <w:sz w:val="28"/>
          <w:szCs w:val="28"/>
        </w:rPr>
        <w:t>Мк</w:t>
      </w:r>
      <w:proofErr w:type="spellEnd"/>
      <w:r w:rsidRPr="001715CD">
        <w:rPr>
          <w:rFonts w:eastAsia="Times New Roman"/>
          <w:sz w:val="28"/>
          <w:szCs w:val="28"/>
        </w:rPr>
        <w:t>. 8:29; Ин. 6:69) и исповедание ап. Фомы (Ин.20:28): богословская экзегеза.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Заповедь о любви в Священном Писании Нового Завета. Особенность новозаветной заповеди о любви к ближнему по сравнению с ветхозаветными представлениями.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Основные богословские идеи в прощальной беседе Господа Иисуса Христа с учениками (Ин. 14-17 </w:t>
      </w:r>
      <w:proofErr w:type="spellStart"/>
      <w:r w:rsidRPr="006608BF">
        <w:rPr>
          <w:rFonts w:eastAsia="Times New Roman"/>
          <w:sz w:val="28"/>
          <w:szCs w:val="28"/>
        </w:rPr>
        <w:t>глл</w:t>
      </w:r>
      <w:proofErr w:type="spellEnd"/>
      <w:r w:rsidRPr="006608BF">
        <w:rPr>
          <w:rFonts w:eastAsia="Times New Roman"/>
          <w:sz w:val="28"/>
          <w:szCs w:val="28"/>
        </w:rPr>
        <w:t>.).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lastRenderedPageBreak/>
        <w:t>Особенности  жизни  раннехристианской  общины  по  книге  Деяний  (</w:t>
      </w:r>
      <w:proofErr w:type="spellStart"/>
      <w:r w:rsidRPr="001715CD">
        <w:rPr>
          <w:rFonts w:eastAsia="Times New Roman"/>
          <w:sz w:val="28"/>
          <w:szCs w:val="28"/>
        </w:rPr>
        <w:t>Деян</w:t>
      </w:r>
      <w:proofErr w:type="spellEnd"/>
      <w:r w:rsidRPr="001715CD">
        <w:rPr>
          <w:rFonts w:eastAsia="Times New Roman"/>
          <w:sz w:val="28"/>
          <w:szCs w:val="28"/>
        </w:rPr>
        <w:t>.  2:42-47;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4:32-37; 6:1-7).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Споры о соблюдении христианами из числа язычников закона Моисеева (</w:t>
      </w:r>
      <w:proofErr w:type="spellStart"/>
      <w:r w:rsidRPr="001715CD">
        <w:rPr>
          <w:rFonts w:eastAsia="Times New Roman"/>
          <w:sz w:val="28"/>
          <w:szCs w:val="28"/>
        </w:rPr>
        <w:t>Деян</w:t>
      </w:r>
      <w:proofErr w:type="spellEnd"/>
      <w:r w:rsidRPr="001715CD">
        <w:rPr>
          <w:rFonts w:eastAsia="Times New Roman"/>
          <w:sz w:val="28"/>
          <w:szCs w:val="28"/>
        </w:rPr>
        <w:t>. 15:1-31).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Богословский анализ речей ап. Петра в день Пятидесятницы и ап. Павла в Ареопаге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(</w:t>
      </w:r>
      <w:proofErr w:type="spellStart"/>
      <w:r w:rsidRPr="001715CD">
        <w:rPr>
          <w:rFonts w:eastAsia="Times New Roman"/>
          <w:sz w:val="28"/>
          <w:szCs w:val="28"/>
        </w:rPr>
        <w:t>Деян</w:t>
      </w:r>
      <w:proofErr w:type="spellEnd"/>
      <w:r w:rsidRPr="001715CD">
        <w:rPr>
          <w:rFonts w:eastAsia="Times New Roman"/>
          <w:sz w:val="28"/>
          <w:szCs w:val="28"/>
        </w:rPr>
        <w:t>. 17:22-31).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Учение о необходимости дел как свидетельстве живой веры по Посланию ап. Иакова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(</w:t>
      </w:r>
      <w:proofErr w:type="spellStart"/>
      <w:r w:rsidRPr="001715CD">
        <w:rPr>
          <w:rFonts w:eastAsia="Times New Roman"/>
          <w:sz w:val="28"/>
          <w:szCs w:val="28"/>
        </w:rPr>
        <w:t>Иак</w:t>
      </w:r>
      <w:proofErr w:type="spellEnd"/>
      <w:r w:rsidRPr="001715CD">
        <w:rPr>
          <w:rFonts w:eastAsia="Times New Roman"/>
          <w:sz w:val="28"/>
          <w:szCs w:val="28"/>
        </w:rPr>
        <w:t>. 2:14-26).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Всеобщее священство верных по 1 Посланию ап. Петра (1 Пет. 2:4-10).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Свидетельство о боговоплощении по 1 Посланию ап. Иоанна Богослова (1 Ин. 1:1-3;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5:6).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 втором пришествии по Посланиям 2 Петра (2 Пет. 3:10-14) и 1 к </w:t>
      </w:r>
      <w:proofErr w:type="spellStart"/>
      <w:r w:rsidRPr="006608BF">
        <w:rPr>
          <w:rFonts w:eastAsia="Times New Roman"/>
          <w:sz w:val="28"/>
          <w:szCs w:val="28"/>
        </w:rPr>
        <w:t>Фессалоникийцам</w:t>
      </w:r>
      <w:proofErr w:type="spellEnd"/>
      <w:r w:rsidRPr="006608BF">
        <w:rPr>
          <w:rFonts w:eastAsia="Times New Roman"/>
          <w:sz w:val="28"/>
          <w:szCs w:val="28"/>
        </w:rPr>
        <w:t xml:space="preserve"> (1 Фес. 4:13-17).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Учение об оправдание верой по Посланию к Римлянам (Рим. 3:19-31).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 христианской свободе по Посланию к </w:t>
      </w:r>
      <w:proofErr w:type="spellStart"/>
      <w:r w:rsidRPr="006608BF">
        <w:rPr>
          <w:rFonts w:eastAsia="Times New Roman"/>
          <w:sz w:val="28"/>
          <w:szCs w:val="28"/>
        </w:rPr>
        <w:t>Галатам</w:t>
      </w:r>
      <w:proofErr w:type="spellEnd"/>
      <w:r w:rsidRPr="006608BF">
        <w:rPr>
          <w:rFonts w:eastAsia="Times New Roman"/>
          <w:sz w:val="28"/>
          <w:szCs w:val="28"/>
        </w:rPr>
        <w:t xml:space="preserve"> (</w:t>
      </w:r>
      <w:proofErr w:type="spellStart"/>
      <w:r w:rsidRPr="006608BF">
        <w:rPr>
          <w:rFonts w:eastAsia="Times New Roman"/>
          <w:sz w:val="28"/>
          <w:szCs w:val="28"/>
        </w:rPr>
        <w:t>Гал</w:t>
      </w:r>
      <w:proofErr w:type="spellEnd"/>
      <w:r w:rsidRPr="006608BF">
        <w:rPr>
          <w:rFonts w:eastAsia="Times New Roman"/>
          <w:sz w:val="28"/>
          <w:szCs w:val="28"/>
        </w:rPr>
        <w:t>. 5:1).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Гимн любви св. ап. Павла по 1 Посланию к Коринфянам (1 Кор. 13 гл.).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 дарах Святого Духа в 1 Послании к Коринфянам (1 Кор. 14 </w:t>
      </w:r>
      <w:proofErr w:type="spellStart"/>
      <w:r w:rsidRPr="006608BF">
        <w:rPr>
          <w:rFonts w:eastAsia="Times New Roman"/>
          <w:sz w:val="28"/>
          <w:szCs w:val="28"/>
        </w:rPr>
        <w:t>гл</w:t>
      </w:r>
      <w:proofErr w:type="spellEnd"/>
      <w:r w:rsidRPr="006608BF">
        <w:rPr>
          <w:rFonts w:eastAsia="Times New Roman"/>
          <w:sz w:val="28"/>
          <w:szCs w:val="28"/>
        </w:rPr>
        <w:t>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Слово о Кресте в 1 Послании к Коринфянам (1Кор.1:18-25).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 Церкви по Посланию к </w:t>
      </w:r>
      <w:proofErr w:type="spellStart"/>
      <w:r w:rsidRPr="006608BF">
        <w:rPr>
          <w:rFonts w:eastAsia="Times New Roman"/>
          <w:sz w:val="28"/>
          <w:szCs w:val="28"/>
        </w:rPr>
        <w:t>Ефесянам</w:t>
      </w:r>
      <w:proofErr w:type="spellEnd"/>
      <w:r w:rsidRPr="006608BF">
        <w:rPr>
          <w:rFonts w:eastAsia="Times New Roman"/>
          <w:sz w:val="28"/>
          <w:szCs w:val="28"/>
        </w:rPr>
        <w:t xml:space="preserve"> ап. Павла (</w:t>
      </w:r>
      <w:proofErr w:type="spellStart"/>
      <w:r w:rsidRPr="006608BF">
        <w:rPr>
          <w:rFonts w:eastAsia="Times New Roman"/>
          <w:sz w:val="28"/>
          <w:szCs w:val="28"/>
        </w:rPr>
        <w:t>Еф</w:t>
      </w:r>
      <w:proofErr w:type="spellEnd"/>
      <w:r w:rsidRPr="006608BF">
        <w:rPr>
          <w:rFonts w:eastAsia="Times New Roman"/>
          <w:sz w:val="28"/>
          <w:szCs w:val="28"/>
        </w:rPr>
        <w:t>. 5:22-32).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 w:rsidRPr="006608BF">
        <w:rPr>
          <w:rFonts w:eastAsia="Times New Roman"/>
          <w:sz w:val="28"/>
          <w:szCs w:val="28"/>
        </w:rPr>
        <w:t>Кенозис</w:t>
      </w:r>
      <w:proofErr w:type="spellEnd"/>
      <w:r w:rsidRPr="006608BF">
        <w:rPr>
          <w:rFonts w:eastAsia="Times New Roman"/>
          <w:sz w:val="28"/>
          <w:szCs w:val="28"/>
        </w:rPr>
        <w:t xml:space="preserve"> Христа по Посланию к </w:t>
      </w:r>
      <w:proofErr w:type="spellStart"/>
      <w:r w:rsidRPr="006608BF">
        <w:rPr>
          <w:rFonts w:eastAsia="Times New Roman"/>
          <w:sz w:val="28"/>
          <w:szCs w:val="28"/>
        </w:rPr>
        <w:t>Филиппийцам</w:t>
      </w:r>
      <w:proofErr w:type="spellEnd"/>
      <w:r w:rsidRPr="006608BF">
        <w:rPr>
          <w:rFonts w:eastAsia="Times New Roman"/>
          <w:sz w:val="28"/>
          <w:szCs w:val="28"/>
        </w:rPr>
        <w:t xml:space="preserve"> ап. Павла (</w:t>
      </w:r>
      <w:proofErr w:type="spellStart"/>
      <w:r w:rsidRPr="006608BF">
        <w:rPr>
          <w:rFonts w:eastAsia="Times New Roman"/>
          <w:sz w:val="28"/>
          <w:szCs w:val="28"/>
        </w:rPr>
        <w:t>Флп</w:t>
      </w:r>
      <w:proofErr w:type="spellEnd"/>
      <w:r w:rsidRPr="006608BF">
        <w:rPr>
          <w:rFonts w:eastAsia="Times New Roman"/>
          <w:sz w:val="28"/>
          <w:szCs w:val="28"/>
        </w:rPr>
        <w:t>. 2:6-11).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 xml:space="preserve">Учение об антихристе в Посланиях 1 Иоанна (1 Ин. 2:18-23; 4:3) и 2 к </w:t>
      </w:r>
      <w:proofErr w:type="spellStart"/>
      <w:r w:rsidRPr="006608BF">
        <w:rPr>
          <w:rFonts w:eastAsia="Times New Roman"/>
          <w:sz w:val="28"/>
          <w:szCs w:val="28"/>
        </w:rPr>
        <w:t>Фессалоникийцам</w:t>
      </w:r>
      <w:proofErr w:type="spellEnd"/>
      <w:r w:rsidRPr="006608BF">
        <w:rPr>
          <w:rFonts w:eastAsia="Times New Roman"/>
          <w:sz w:val="28"/>
          <w:szCs w:val="28"/>
        </w:rPr>
        <w:t xml:space="preserve"> (2 Фес. 2:8-10).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Учение о церковном служении по пастырским посланиям.</w:t>
      </w:r>
    </w:p>
    <w:p w:rsidR="0080250E" w:rsidRPr="001715CD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715CD">
        <w:rPr>
          <w:rFonts w:eastAsia="Times New Roman"/>
          <w:sz w:val="28"/>
          <w:szCs w:val="28"/>
        </w:rPr>
        <w:t>Типологические толкования образа Мелхиседека в Послании к Евреям (Евр. 5:6, 10;</w:t>
      </w:r>
      <w:r>
        <w:rPr>
          <w:rFonts w:eastAsia="Times New Roman"/>
          <w:sz w:val="28"/>
          <w:szCs w:val="28"/>
        </w:rPr>
        <w:t xml:space="preserve"> </w:t>
      </w:r>
      <w:r w:rsidRPr="001715CD">
        <w:rPr>
          <w:rFonts w:eastAsia="Times New Roman"/>
          <w:sz w:val="28"/>
          <w:szCs w:val="28"/>
        </w:rPr>
        <w:t>6:20-7:28).</w:t>
      </w:r>
    </w:p>
    <w:p w:rsidR="0080250E" w:rsidRPr="006608BF" w:rsidRDefault="0080250E" w:rsidP="0080250E">
      <w:pPr>
        <w:pStyle w:val="a3"/>
        <w:numPr>
          <w:ilvl w:val="0"/>
          <w:numId w:val="2"/>
        </w:numPr>
        <w:tabs>
          <w:tab w:val="left" w:pos="142"/>
        </w:tabs>
        <w:spacing w:line="23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608BF">
        <w:rPr>
          <w:rFonts w:eastAsia="Times New Roman"/>
          <w:sz w:val="28"/>
          <w:szCs w:val="28"/>
        </w:rPr>
        <w:t>Экзегеза послания семи Церквам в книге Откровения (</w:t>
      </w:r>
      <w:proofErr w:type="spellStart"/>
      <w:r w:rsidRPr="006608BF">
        <w:rPr>
          <w:rFonts w:eastAsia="Times New Roman"/>
          <w:sz w:val="28"/>
          <w:szCs w:val="28"/>
        </w:rPr>
        <w:t>Откр</w:t>
      </w:r>
      <w:proofErr w:type="spellEnd"/>
      <w:r w:rsidRPr="006608BF">
        <w:rPr>
          <w:rFonts w:eastAsia="Times New Roman"/>
          <w:sz w:val="28"/>
          <w:szCs w:val="28"/>
        </w:rPr>
        <w:t xml:space="preserve">. 2-3 </w:t>
      </w:r>
      <w:proofErr w:type="spellStart"/>
      <w:r w:rsidRPr="006608BF">
        <w:rPr>
          <w:rFonts w:eastAsia="Times New Roman"/>
          <w:sz w:val="28"/>
          <w:szCs w:val="28"/>
        </w:rPr>
        <w:t>глл</w:t>
      </w:r>
      <w:proofErr w:type="spellEnd"/>
      <w:r w:rsidRPr="006608BF">
        <w:rPr>
          <w:rFonts w:eastAsia="Times New Roman"/>
          <w:sz w:val="28"/>
          <w:szCs w:val="28"/>
        </w:rPr>
        <w:t>.).</w:t>
      </w:r>
    </w:p>
    <w:p w:rsidR="0080250E" w:rsidRPr="006608BF" w:rsidRDefault="0080250E" w:rsidP="00AC0DC5">
      <w:pPr>
        <w:pStyle w:val="a3"/>
        <w:numPr>
          <w:ilvl w:val="0"/>
          <w:numId w:val="2"/>
        </w:numPr>
        <w:tabs>
          <w:tab w:val="left" w:pos="142"/>
        </w:tabs>
        <w:spacing w:line="283" w:lineRule="exact"/>
        <w:ind w:left="0" w:firstLine="709"/>
        <w:jc w:val="center"/>
        <w:rPr>
          <w:rFonts w:eastAsia="Times New Roman"/>
          <w:sz w:val="28"/>
          <w:szCs w:val="28"/>
        </w:rPr>
      </w:pPr>
      <w:r w:rsidRPr="00AC0DC5">
        <w:rPr>
          <w:rFonts w:eastAsia="Times New Roman"/>
          <w:sz w:val="28"/>
          <w:szCs w:val="28"/>
        </w:rPr>
        <w:t>Видение нового Иерусалима в книге Откровения (</w:t>
      </w:r>
      <w:proofErr w:type="spellStart"/>
      <w:r w:rsidRPr="00AC0DC5">
        <w:rPr>
          <w:rFonts w:eastAsia="Times New Roman"/>
          <w:sz w:val="28"/>
          <w:szCs w:val="28"/>
        </w:rPr>
        <w:t>Откр</w:t>
      </w:r>
      <w:proofErr w:type="spellEnd"/>
      <w:r w:rsidRPr="00AC0DC5">
        <w:rPr>
          <w:rFonts w:eastAsia="Times New Roman"/>
          <w:sz w:val="28"/>
          <w:szCs w:val="28"/>
        </w:rPr>
        <w:t>. 21 гл.).</w:t>
      </w:r>
    </w:p>
    <w:sectPr w:rsidR="0080250E" w:rsidRPr="006608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91A" w:rsidRDefault="00EF391A" w:rsidP="0080250E">
      <w:r>
        <w:separator/>
      </w:r>
    </w:p>
  </w:endnote>
  <w:endnote w:type="continuationSeparator" w:id="0">
    <w:p w:rsidR="00EF391A" w:rsidRDefault="00EF391A" w:rsidP="0080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663616506"/>
      <w:docPartObj>
        <w:docPartGallery w:val="Page Numbers (Bottom of Page)"/>
        <w:docPartUnique/>
      </w:docPartObj>
    </w:sdtPr>
    <w:sdtEndPr/>
    <w:sdtContent>
      <w:p w:rsidR="0080250E" w:rsidRPr="0080250E" w:rsidRDefault="0080250E">
        <w:pPr>
          <w:pStyle w:val="a6"/>
          <w:jc w:val="right"/>
          <w:rPr>
            <w:sz w:val="28"/>
            <w:szCs w:val="28"/>
          </w:rPr>
        </w:pPr>
        <w:r w:rsidRPr="0080250E">
          <w:rPr>
            <w:sz w:val="28"/>
            <w:szCs w:val="28"/>
          </w:rPr>
          <w:fldChar w:fldCharType="begin"/>
        </w:r>
        <w:r w:rsidRPr="0080250E">
          <w:rPr>
            <w:sz w:val="28"/>
            <w:szCs w:val="28"/>
          </w:rPr>
          <w:instrText>PAGE   \* MERGEFORMAT</w:instrText>
        </w:r>
        <w:r w:rsidRPr="0080250E">
          <w:rPr>
            <w:sz w:val="28"/>
            <w:szCs w:val="28"/>
          </w:rPr>
          <w:fldChar w:fldCharType="separate"/>
        </w:r>
        <w:r w:rsidR="00AC0DC5">
          <w:rPr>
            <w:noProof/>
            <w:sz w:val="28"/>
            <w:szCs w:val="28"/>
          </w:rPr>
          <w:t>1</w:t>
        </w:r>
        <w:r w:rsidRPr="0080250E">
          <w:rPr>
            <w:sz w:val="28"/>
            <w:szCs w:val="28"/>
          </w:rPr>
          <w:fldChar w:fldCharType="end"/>
        </w:r>
      </w:p>
    </w:sdtContent>
  </w:sdt>
  <w:p w:rsidR="0080250E" w:rsidRPr="0080250E" w:rsidRDefault="0080250E">
    <w:pPr>
      <w:pStyle w:val="a6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91A" w:rsidRDefault="00EF391A" w:rsidP="0080250E">
      <w:r>
        <w:separator/>
      </w:r>
    </w:p>
  </w:footnote>
  <w:footnote w:type="continuationSeparator" w:id="0">
    <w:p w:rsidR="00EF391A" w:rsidRDefault="00EF391A" w:rsidP="0080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E5D"/>
    <w:multiLevelType w:val="hybridMultilevel"/>
    <w:tmpl w:val="980684D2"/>
    <w:lvl w:ilvl="0" w:tplc="DA00C838">
      <w:start w:val="1"/>
      <w:numFmt w:val="decimal"/>
      <w:lvlText w:val="%1."/>
      <w:lvlJc w:val="left"/>
    </w:lvl>
    <w:lvl w:ilvl="1" w:tplc="8AA0B768">
      <w:numFmt w:val="decimal"/>
      <w:lvlText w:val=""/>
      <w:lvlJc w:val="left"/>
    </w:lvl>
    <w:lvl w:ilvl="2" w:tplc="C2DA9B40">
      <w:numFmt w:val="decimal"/>
      <w:lvlText w:val=""/>
      <w:lvlJc w:val="left"/>
    </w:lvl>
    <w:lvl w:ilvl="3" w:tplc="95986C02">
      <w:numFmt w:val="decimal"/>
      <w:lvlText w:val=""/>
      <w:lvlJc w:val="left"/>
    </w:lvl>
    <w:lvl w:ilvl="4" w:tplc="29C269CC">
      <w:numFmt w:val="decimal"/>
      <w:lvlText w:val=""/>
      <w:lvlJc w:val="left"/>
    </w:lvl>
    <w:lvl w:ilvl="5" w:tplc="18328332">
      <w:numFmt w:val="decimal"/>
      <w:lvlText w:val=""/>
      <w:lvlJc w:val="left"/>
    </w:lvl>
    <w:lvl w:ilvl="6" w:tplc="B8422AD4">
      <w:numFmt w:val="decimal"/>
      <w:lvlText w:val=""/>
      <w:lvlJc w:val="left"/>
    </w:lvl>
    <w:lvl w:ilvl="7" w:tplc="61989D12">
      <w:numFmt w:val="decimal"/>
      <w:lvlText w:val=""/>
      <w:lvlJc w:val="left"/>
    </w:lvl>
    <w:lvl w:ilvl="8" w:tplc="3BFE1414">
      <w:numFmt w:val="decimal"/>
      <w:lvlText w:val=""/>
      <w:lvlJc w:val="left"/>
    </w:lvl>
  </w:abstractNum>
  <w:abstractNum w:abstractNumId="1" w15:restartNumberingAfterBreak="0">
    <w:nsid w:val="12A27FAF"/>
    <w:multiLevelType w:val="hybridMultilevel"/>
    <w:tmpl w:val="461E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58C"/>
    <w:multiLevelType w:val="hybridMultilevel"/>
    <w:tmpl w:val="461E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50E"/>
    <w:rsid w:val="00252D19"/>
    <w:rsid w:val="003A6649"/>
    <w:rsid w:val="00527857"/>
    <w:rsid w:val="0080250E"/>
    <w:rsid w:val="00916CEF"/>
    <w:rsid w:val="00984EB3"/>
    <w:rsid w:val="00AC0DC5"/>
    <w:rsid w:val="00E21C6C"/>
    <w:rsid w:val="00E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E7A6"/>
  <w15:docId w15:val="{974D9C6C-80D2-42C6-8A41-A872D9D5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5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5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50E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25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50E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Александр Тагоченков</dc:creator>
  <cp:lastModifiedBy>Петр</cp:lastModifiedBy>
  <cp:revision>4</cp:revision>
  <dcterms:created xsi:type="dcterms:W3CDTF">2018-05-29T21:21:00Z</dcterms:created>
  <dcterms:modified xsi:type="dcterms:W3CDTF">2018-06-07T08:10:00Z</dcterms:modified>
</cp:coreProperties>
</file>