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0B" w:rsidRDefault="001B430B" w:rsidP="001B430B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Компле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ксный экзамен </w:t>
      </w: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по специальности – «Теология»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 </w:t>
      </w:r>
    </w:p>
    <w:p w:rsidR="001B430B" w:rsidRPr="006608BF" w:rsidRDefault="001B430B" w:rsidP="001B430B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для абитуриентов магистратуры</w:t>
      </w:r>
    </w:p>
    <w:p w:rsidR="001B430B" w:rsidRDefault="001B430B" w:rsidP="001B430B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Казанской православной духовной семинарии</w:t>
      </w:r>
    </w:p>
    <w:p w:rsidR="001B430B" w:rsidRPr="006608BF" w:rsidRDefault="001B430B" w:rsidP="001B430B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Профиль «</w:t>
      </w:r>
      <w:r w:rsidR="007A6D3D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Церковная лингвистика</w:t>
      </w:r>
      <w:bookmarkStart w:id="0" w:name="_GoBack"/>
      <w:bookmarkEnd w:id="0"/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»</w:t>
      </w:r>
    </w:p>
    <w:p w:rsidR="001B430B" w:rsidRDefault="001B430B" w:rsidP="001B430B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</w:p>
    <w:p w:rsidR="001B430B" w:rsidRPr="006608BF" w:rsidRDefault="001B430B" w:rsidP="001B430B">
      <w:pPr>
        <w:spacing w:after="200" w:line="276" w:lineRule="auto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ЭКЗАМЕНАЦИОННЫЕ ВОПРОСЫ</w:t>
      </w:r>
    </w:p>
    <w:p w:rsidR="001B430B" w:rsidRDefault="001B430B" w:rsidP="001B430B">
      <w:pPr>
        <w:spacing w:line="283" w:lineRule="exact"/>
        <w:jc w:val="center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</w:p>
    <w:p w:rsidR="001B430B" w:rsidRDefault="001B430B" w:rsidP="001B430B">
      <w:pPr>
        <w:spacing w:line="283" w:lineRule="exact"/>
        <w:jc w:val="center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b/>
          <w:color w:val="1F497D" w:themeColor="text2"/>
          <w:sz w:val="28"/>
          <w:szCs w:val="28"/>
          <w:lang w:eastAsia="en-US"/>
        </w:rPr>
        <w:t>Догматическое богословие</w:t>
      </w:r>
    </w:p>
    <w:p w:rsidR="001B430B" w:rsidRDefault="001B430B" w:rsidP="001B430B">
      <w:pPr>
        <w:spacing w:line="283" w:lineRule="exact"/>
        <w:rPr>
          <w:sz w:val="20"/>
          <w:szCs w:val="20"/>
        </w:rPr>
      </w:pP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Догмат и его существенные свойства. </w:t>
      </w:r>
      <w:proofErr w:type="spellStart"/>
      <w:r w:rsidRPr="001715CD">
        <w:rPr>
          <w:rFonts w:eastAsia="Times New Roman"/>
          <w:sz w:val="28"/>
          <w:szCs w:val="28"/>
        </w:rPr>
        <w:t>Теологумен</w:t>
      </w:r>
      <w:proofErr w:type="spellEnd"/>
      <w:r w:rsidRPr="001715CD">
        <w:rPr>
          <w:rFonts w:eastAsia="Times New Roman"/>
          <w:sz w:val="28"/>
          <w:szCs w:val="28"/>
        </w:rPr>
        <w:t>, частное богословское мнение, ошибочное мнение, ересь.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Содержание, формулировка, истолкование догмата. Полнота и неизменяемость Новозаветного Откровения и развитие науки «Догматическое богословие».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Задачи и метод богословской науки. </w:t>
      </w:r>
      <w:proofErr w:type="spellStart"/>
      <w:r w:rsidRPr="001715CD">
        <w:rPr>
          <w:rFonts w:eastAsia="Times New Roman"/>
          <w:sz w:val="28"/>
          <w:szCs w:val="28"/>
        </w:rPr>
        <w:t>Адогматизм</w:t>
      </w:r>
      <w:proofErr w:type="spellEnd"/>
      <w:r w:rsidRPr="001715CD">
        <w:rPr>
          <w:rFonts w:eastAsia="Times New Roman"/>
          <w:sz w:val="28"/>
          <w:szCs w:val="28"/>
        </w:rPr>
        <w:t xml:space="preserve"> и его несостоятельность.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Источники христианского вероучения. Божественное Откровение - Священное писание, Священное предание. Символы веры и </w:t>
      </w:r>
      <w:proofErr w:type="spellStart"/>
      <w:r w:rsidRPr="001715CD">
        <w:rPr>
          <w:rFonts w:eastAsia="Times New Roman"/>
          <w:sz w:val="28"/>
          <w:szCs w:val="28"/>
        </w:rPr>
        <w:t>вероопределения</w:t>
      </w:r>
      <w:proofErr w:type="spellEnd"/>
      <w:r w:rsidRPr="001715CD">
        <w:rPr>
          <w:rFonts w:eastAsia="Times New Roman"/>
          <w:sz w:val="28"/>
          <w:szCs w:val="28"/>
        </w:rPr>
        <w:t xml:space="preserve"> Вселенских соборов, </w:t>
      </w:r>
      <w:proofErr w:type="spellStart"/>
      <w:r w:rsidRPr="001715CD">
        <w:rPr>
          <w:rFonts w:eastAsia="Times New Roman"/>
          <w:sz w:val="28"/>
          <w:szCs w:val="28"/>
        </w:rPr>
        <w:t>вероизложения</w:t>
      </w:r>
      <w:proofErr w:type="spellEnd"/>
      <w:r w:rsidRPr="001715CD">
        <w:rPr>
          <w:rFonts w:eastAsia="Times New Roman"/>
          <w:sz w:val="28"/>
          <w:szCs w:val="28"/>
        </w:rPr>
        <w:t xml:space="preserve"> прочих соборов и святых отцов. Богослужение, т.н. символические книги.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Краткая история догматической науки (с </w:t>
      </w:r>
      <w:proofErr w:type="spellStart"/>
      <w:r w:rsidRPr="001715CD">
        <w:rPr>
          <w:rFonts w:eastAsia="Times New Roman"/>
          <w:sz w:val="28"/>
          <w:szCs w:val="28"/>
        </w:rPr>
        <w:t>доникейского</w:t>
      </w:r>
      <w:proofErr w:type="spellEnd"/>
      <w:r w:rsidRPr="001715CD">
        <w:rPr>
          <w:rFonts w:eastAsia="Times New Roman"/>
          <w:sz w:val="28"/>
          <w:szCs w:val="28"/>
        </w:rPr>
        <w:t xml:space="preserve"> периода до русской школы </w:t>
      </w:r>
      <w:proofErr w:type="spellStart"/>
      <w:r w:rsidRPr="001715CD">
        <w:rPr>
          <w:rFonts w:eastAsia="Times New Roman"/>
          <w:sz w:val="28"/>
          <w:szCs w:val="28"/>
        </w:rPr>
        <w:t>догматистов</w:t>
      </w:r>
      <w:proofErr w:type="spellEnd"/>
      <w:r w:rsidRPr="001715CD">
        <w:rPr>
          <w:rFonts w:eastAsia="Times New Roman"/>
          <w:sz w:val="28"/>
          <w:szCs w:val="28"/>
        </w:rPr>
        <w:t>).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1715CD">
        <w:rPr>
          <w:rFonts w:eastAsia="Times New Roman"/>
          <w:sz w:val="28"/>
          <w:szCs w:val="28"/>
        </w:rPr>
        <w:t>Богопознание</w:t>
      </w:r>
      <w:proofErr w:type="spellEnd"/>
      <w:r w:rsidRPr="001715CD">
        <w:rPr>
          <w:rFonts w:eastAsia="Times New Roman"/>
          <w:sz w:val="28"/>
          <w:szCs w:val="28"/>
        </w:rPr>
        <w:t xml:space="preserve">. Возможность и характер познания о Боге, нравственные условия. Естественный и сверхъестественный способы </w:t>
      </w:r>
      <w:proofErr w:type="spellStart"/>
      <w:r w:rsidRPr="001715CD">
        <w:rPr>
          <w:rFonts w:eastAsia="Times New Roman"/>
          <w:sz w:val="28"/>
          <w:szCs w:val="28"/>
        </w:rPr>
        <w:t>богопознания</w:t>
      </w:r>
      <w:proofErr w:type="spellEnd"/>
      <w:r w:rsidRPr="001715CD">
        <w:rPr>
          <w:rFonts w:eastAsia="Times New Roman"/>
          <w:sz w:val="28"/>
          <w:szCs w:val="28"/>
        </w:rPr>
        <w:t xml:space="preserve">. </w:t>
      </w:r>
      <w:proofErr w:type="spellStart"/>
      <w:r w:rsidRPr="001715CD">
        <w:rPr>
          <w:rFonts w:eastAsia="Times New Roman"/>
          <w:sz w:val="28"/>
          <w:szCs w:val="28"/>
        </w:rPr>
        <w:t>Апофатизм</w:t>
      </w:r>
      <w:proofErr w:type="spellEnd"/>
      <w:r w:rsidRPr="001715CD">
        <w:rPr>
          <w:rFonts w:eastAsia="Times New Roman"/>
          <w:sz w:val="28"/>
          <w:szCs w:val="28"/>
        </w:rPr>
        <w:t xml:space="preserve">, </w:t>
      </w:r>
      <w:proofErr w:type="spellStart"/>
      <w:r w:rsidRPr="001715CD">
        <w:rPr>
          <w:rFonts w:eastAsia="Times New Roman"/>
          <w:sz w:val="28"/>
          <w:szCs w:val="28"/>
        </w:rPr>
        <w:t>катафатизм</w:t>
      </w:r>
      <w:proofErr w:type="spellEnd"/>
      <w:r w:rsidRPr="001715CD">
        <w:rPr>
          <w:rFonts w:eastAsia="Times New Roman"/>
          <w:sz w:val="28"/>
          <w:szCs w:val="28"/>
        </w:rPr>
        <w:t>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Учение о Боге, Едином в Существе. Истина бытия Божия, онтологические (апофатические) и духовные (</w:t>
      </w:r>
      <w:proofErr w:type="spellStart"/>
      <w:r w:rsidRPr="001715CD">
        <w:rPr>
          <w:rFonts w:eastAsia="Times New Roman"/>
          <w:sz w:val="28"/>
          <w:szCs w:val="28"/>
        </w:rPr>
        <w:t>катафатические</w:t>
      </w:r>
      <w:proofErr w:type="spellEnd"/>
      <w:r w:rsidRPr="001715CD">
        <w:rPr>
          <w:rFonts w:eastAsia="Times New Roman"/>
          <w:sz w:val="28"/>
          <w:szCs w:val="28"/>
        </w:rPr>
        <w:t>) свойства Божии. Единство Существа Божия.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Учение о Боге, Троичном в Лицах. Свидетельства Божественного Откровения о троичности Лиц в Боге, о Божественном достоинстве и равенстве Божественных Лиц. Божественные Ипостаси и их свойства.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1715CD">
        <w:rPr>
          <w:rFonts w:eastAsia="Times New Roman"/>
          <w:sz w:val="28"/>
          <w:szCs w:val="28"/>
        </w:rPr>
        <w:t>Единосущие</w:t>
      </w:r>
      <w:proofErr w:type="spellEnd"/>
      <w:r w:rsidRPr="001715CD">
        <w:rPr>
          <w:rFonts w:eastAsia="Times New Roman"/>
          <w:sz w:val="28"/>
          <w:szCs w:val="28"/>
        </w:rPr>
        <w:t xml:space="preserve"> Лиц Пресвятой Троицы. Единоначалие Бога-Отца. Образ Откровения Святой Троицы в мире.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История догмата о Пресвятой Троице: </w:t>
      </w:r>
      <w:proofErr w:type="spellStart"/>
      <w:r w:rsidRPr="001715CD">
        <w:rPr>
          <w:rFonts w:eastAsia="Times New Roman"/>
          <w:sz w:val="28"/>
          <w:szCs w:val="28"/>
        </w:rPr>
        <w:t>доникейский</w:t>
      </w:r>
      <w:proofErr w:type="spellEnd"/>
      <w:r w:rsidRPr="001715CD">
        <w:rPr>
          <w:rFonts w:eastAsia="Times New Roman"/>
          <w:sz w:val="28"/>
          <w:szCs w:val="28"/>
        </w:rPr>
        <w:t xml:space="preserve"> период; тринитарные споры IV столетия; тринитарные заблуждения после II-</w:t>
      </w:r>
      <w:proofErr w:type="spellStart"/>
      <w:r w:rsidRPr="001715CD">
        <w:rPr>
          <w:rFonts w:eastAsia="Times New Roman"/>
          <w:sz w:val="28"/>
          <w:szCs w:val="28"/>
        </w:rPr>
        <w:t>го</w:t>
      </w:r>
      <w:proofErr w:type="spellEnd"/>
      <w:r w:rsidRPr="001715CD">
        <w:rPr>
          <w:rFonts w:eastAsia="Times New Roman"/>
          <w:sz w:val="28"/>
          <w:szCs w:val="28"/>
        </w:rPr>
        <w:t xml:space="preserve"> Вселенского Собора. </w:t>
      </w:r>
      <w:proofErr w:type="spellStart"/>
      <w:r w:rsidRPr="001715CD">
        <w:rPr>
          <w:rFonts w:eastAsia="Times New Roman"/>
          <w:sz w:val="28"/>
          <w:szCs w:val="28"/>
        </w:rPr>
        <w:t>Filioque</w:t>
      </w:r>
      <w:proofErr w:type="spellEnd"/>
      <w:r w:rsidRPr="001715CD">
        <w:rPr>
          <w:rFonts w:eastAsia="Times New Roman"/>
          <w:sz w:val="28"/>
          <w:szCs w:val="28"/>
        </w:rPr>
        <w:t>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Троичная терминология.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 как Творец мира. Происхождение мира через творение. Творение и время. Побуждение и цель творения. Образ творения мира. Творение общее, частное.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Понятие о промысле Божием. Действия, виды, предметы и образы </w:t>
      </w:r>
      <w:proofErr w:type="spellStart"/>
      <w:r w:rsidRPr="001715CD">
        <w:rPr>
          <w:rFonts w:eastAsia="Times New Roman"/>
          <w:sz w:val="28"/>
          <w:szCs w:val="28"/>
        </w:rPr>
        <w:t>промышления</w:t>
      </w:r>
      <w:proofErr w:type="spellEnd"/>
      <w:r w:rsidRPr="001715CD">
        <w:rPr>
          <w:rFonts w:eastAsia="Times New Roman"/>
          <w:sz w:val="28"/>
          <w:szCs w:val="28"/>
        </w:rPr>
        <w:t xml:space="preserve"> Божия.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lastRenderedPageBreak/>
        <w:t>Творение, природа и назначение мира ангельского. Небесная иерархия. Падение в мире ангельском.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Происхождение человека. Сущность и смысл библейского повествования о происхождении первых людей.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Природа человека. Образ и подобие Божии в человеке. Назначение человека.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Состав человеческой природы (дихотомия и трихотомия). Значение тела в составе человека. Мнения о происхождении души. Свойства человеческой души.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Зло и грех в мире. Сущность и смысл библейского повествования о грехопадении первых людей. Следствие грехопадения. Первородный грех. Основная терминология.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 – Спаситель мира. Содержание учения о Боге Спасителе. Приготовление рода человеческого к принятию Христа Спасителя.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Православное учение о природах и Лице Богочеловека Иисуса Христа. Ипостасное соединение </w:t>
      </w:r>
      <w:proofErr w:type="spellStart"/>
      <w:r w:rsidRPr="001715CD">
        <w:rPr>
          <w:rFonts w:eastAsia="Times New Roman"/>
          <w:sz w:val="28"/>
          <w:szCs w:val="28"/>
        </w:rPr>
        <w:t>естеств</w:t>
      </w:r>
      <w:proofErr w:type="spellEnd"/>
      <w:r w:rsidRPr="001715CD">
        <w:rPr>
          <w:rFonts w:eastAsia="Times New Roman"/>
          <w:sz w:val="28"/>
          <w:szCs w:val="28"/>
        </w:rPr>
        <w:t xml:space="preserve"> в Иисусе Христе, образ соединения, следствия. Учение о Богородице.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Спасительный подвиг Иисуса Христа. Понятие о спасении и искуплении в свете данных Священного Писания. Православное учение об Искуплении.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Сущность и цель тройственного служения Господа на земле. Крестная смерть как Жертва. Воскресение и Вознесение Господа Иисуса Христа. Значение и спасительные плоды этих событий.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Оправдание и освящение как две стороны одного и того же процесса спасения и искупления человечества. Понятие о благодати, благодать и свобода. Значение веры и добрых дел в устроении спасения.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Православное учение о Церкви Христовой. Необходимость принадлежать к Церкви для спасения. Существенные свойства Церкви Христовой.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Богоучрежденная церковная иерархия (епископы, пресвитеры и диаконы).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Таинства: сущность, видимая сторона, невидимые действия таинств. Число таинств. Таинства и тайнодействия.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Вопрос о границах Церкви. Учение о Церкви в Деяниях Юбилейного Архиерейского Собора Русской Православной Церкви 2000 года.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Союз Церкви Небесной и земной. Почитание святых. Почитание Креста, святых мощей и икон.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Телесная смерть и бессмертие души. Частный суд. Состояние души после частного суда. Молитвы Церкви за умерших.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Учение о Боге - Завершителе судеб мира. Антихрист, время его пришествия. Второе пришествие Христово, признаки Его пришествия. Кончина мира, всеобщий суд. Хилиазм, чистилище, </w:t>
      </w:r>
      <w:proofErr w:type="spellStart"/>
      <w:r w:rsidRPr="001715CD">
        <w:rPr>
          <w:rFonts w:eastAsia="Times New Roman"/>
          <w:sz w:val="28"/>
          <w:szCs w:val="28"/>
        </w:rPr>
        <w:t>апокатастасис</w:t>
      </w:r>
      <w:proofErr w:type="spellEnd"/>
      <w:r w:rsidRPr="001715CD">
        <w:rPr>
          <w:rFonts w:eastAsia="Times New Roman"/>
          <w:sz w:val="28"/>
          <w:szCs w:val="28"/>
        </w:rPr>
        <w:t>.</w:t>
      </w:r>
    </w:p>
    <w:p w:rsidR="001B430B" w:rsidRDefault="001B430B" w:rsidP="001B430B">
      <w:pPr>
        <w:spacing w:line="6" w:lineRule="exact"/>
        <w:rPr>
          <w:sz w:val="20"/>
          <w:szCs w:val="20"/>
        </w:rPr>
      </w:pPr>
    </w:p>
    <w:p w:rsidR="001B430B" w:rsidRPr="0080250E" w:rsidRDefault="001B430B" w:rsidP="001B430B">
      <w:pPr>
        <w:rPr>
          <w:b/>
        </w:rPr>
      </w:pPr>
    </w:p>
    <w:p w:rsidR="0060616B" w:rsidRPr="001B430B" w:rsidRDefault="0060616B"/>
    <w:sectPr w:rsidR="0060616B" w:rsidRPr="001B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258C"/>
    <w:multiLevelType w:val="hybridMultilevel"/>
    <w:tmpl w:val="461E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30B"/>
    <w:rsid w:val="001B430B"/>
    <w:rsid w:val="0060616B"/>
    <w:rsid w:val="007A6D3D"/>
    <w:rsid w:val="00AE56F4"/>
    <w:rsid w:val="00D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8D0A"/>
  <w15:docId w15:val="{974D9C6C-80D2-42C6-8A41-A872D9D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3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Петр</cp:lastModifiedBy>
  <cp:revision>4</cp:revision>
  <dcterms:created xsi:type="dcterms:W3CDTF">2018-05-30T12:37:00Z</dcterms:created>
  <dcterms:modified xsi:type="dcterms:W3CDTF">2018-06-07T08:15:00Z</dcterms:modified>
</cp:coreProperties>
</file>