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CBF4B" w14:textId="173B390D" w:rsidR="009832C1" w:rsidRPr="00AB690C" w:rsidRDefault="00482E48" w:rsidP="00F96226">
      <w:pPr>
        <w:spacing w:after="0" w:line="360" w:lineRule="auto"/>
        <w:jc w:val="both"/>
        <w:rPr>
          <w:rFonts w:ascii="Times New Roman" w:hAnsi="Times New Roman" w:cs="Times New Roman"/>
          <w:b/>
          <w:sz w:val="36"/>
          <w:szCs w:val="36"/>
        </w:rPr>
      </w:pPr>
      <w:r w:rsidRPr="00AB690C">
        <w:rPr>
          <w:rFonts w:ascii="Times New Roman" w:hAnsi="Times New Roman" w:cs="Times New Roman"/>
          <w:b/>
          <w:sz w:val="36"/>
          <w:szCs w:val="36"/>
        </w:rPr>
        <w:t xml:space="preserve">Примерные темы диссертаций по </w:t>
      </w:r>
      <w:r w:rsidR="00AB690C" w:rsidRPr="00AB690C">
        <w:rPr>
          <w:rFonts w:ascii="Times New Roman" w:hAnsi="Times New Roman" w:cs="Times New Roman"/>
          <w:b/>
          <w:sz w:val="36"/>
          <w:szCs w:val="36"/>
        </w:rPr>
        <w:t>научным специальностям</w:t>
      </w:r>
      <w:r w:rsidR="00AB690C">
        <w:rPr>
          <w:rFonts w:ascii="Times New Roman" w:hAnsi="Times New Roman" w:cs="Times New Roman"/>
          <w:b/>
          <w:sz w:val="36"/>
          <w:szCs w:val="36"/>
        </w:rPr>
        <w:t xml:space="preserve"> аспирантуры Казанской православной семинарии</w:t>
      </w:r>
    </w:p>
    <w:p w14:paraId="3A1834BD" w14:textId="77777777" w:rsidR="00AB690C" w:rsidRDefault="00AB690C" w:rsidP="00F9622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06A4824" w14:textId="622A6B9D" w:rsidR="00AB690C" w:rsidRPr="00AB690C" w:rsidRDefault="00AB690C" w:rsidP="00F96226">
      <w:pPr>
        <w:spacing w:after="0"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AB690C">
        <w:rPr>
          <w:rFonts w:ascii="Times New Roman" w:hAnsi="Times New Roman" w:cs="Times New Roman"/>
          <w:b/>
          <w:sz w:val="32"/>
          <w:szCs w:val="32"/>
        </w:rPr>
        <w:t>5.11.1 Теоретическая теология</w:t>
      </w:r>
    </w:p>
    <w:p w14:paraId="6DCC7CF7" w14:textId="77777777" w:rsidR="00AB690C" w:rsidRDefault="00AB690C" w:rsidP="00F96226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E1D01A1" w14:textId="4334D1CF" w:rsidR="00AB690C" w:rsidRDefault="00AB690C" w:rsidP="00F96226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B690C">
        <w:rPr>
          <w:rFonts w:ascii="Times New Roman" w:hAnsi="Times New Roman" w:cs="Times New Roman"/>
          <w:bCs/>
          <w:sz w:val="28"/>
          <w:szCs w:val="28"/>
        </w:rPr>
        <w:t xml:space="preserve">1. Эвристический потенциал </w:t>
      </w:r>
      <w:proofErr w:type="spellStart"/>
      <w:r w:rsidRPr="00AB690C">
        <w:rPr>
          <w:rFonts w:ascii="Times New Roman" w:hAnsi="Times New Roman" w:cs="Times New Roman"/>
          <w:bCs/>
          <w:sz w:val="28"/>
          <w:szCs w:val="28"/>
        </w:rPr>
        <w:t>синергийной</w:t>
      </w:r>
      <w:proofErr w:type="spellEnd"/>
      <w:r w:rsidRPr="00AB690C">
        <w:rPr>
          <w:rFonts w:ascii="Times New Roman" w:hAnsi="Times New Roman" w:cs="Times New Roman"/>
          <w:bCs/>
          <w:sz w:val="28"/>
          <w:szCs w:val="28"/>
        </w:rPr>
        <w:t xml:space="preserve"> антропологии для развития христианского богословия в XXI в.</w:t>
      </w:r>
    </w:p>
    <w:p w14:paraId="72A778B3" w14:textId="304A7CE2" w:rsidR="00AB690C" w:rsidRDefault="00AB690C" w:rsidP="00F96226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B690C">
        <w:rPr>
          <w:rFonts w:ascii="Times New Roman" w:hAnsi="Times New Roman" w:cs="Times New Roman"/>
          <w:bCs/>
          <w:sz w:val="28"/>
          <w:szCs w:val="28"/>
        </w:rPr>
        <w:t xml:space="preserve">2. Православное богословие как </w:t>
      </w:r>
      <w:proofErr w:type="spellStart"/>
      <w:r w:rsidRPr="00AB690C">
        <w:rPr>
          <w:rFonts w:ascii="Times New Roman" w:hAnsi="Times New Roman" w:cs="Times New Roman"/>
          <w:bCs/>
          <w:sz w:val="28"/>
          <w:szCs w:val="28"/>
        </w:rPr>
        <w:t>эпистема</w:t>
      </w:r>
      <w:proofErr w:type="spellEnd"/>
      <w:r w:rsidRPr="00AB690C">
        <w:rPr>
          <w:rFonts w:ascii="Times New Roman" w:hAnsi="Times New Roman" w:cs="Times New Roman"/>
          <w:bCs/>
          <w:sz w:val="28"/>
          <w:szCs w:val="28"/>
        </w:rPr>
        <w:t xml:space="preserve"> развития социально-гуманитарных наук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5FB585AD" w14:textId="59446361" w:rsidR="00AB690C" w:rsidRDefault="00AB690C" w:rsidP="00F96226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B690C">
        <w:rPr>
          <w:rFonts w:ascii="Times New Roman" w:hAnsi="Times New Roman" w:cs="Times New Roman"/>
          <w:bCs/>
          <w:sz w:val="28"/>
          <w:szCs w:val="28"/>
        </w:rPr>
        <w:t xml:space="preserve">3. </w:t>
      </w:r>
      <w:proofErr w:type="spellStart"/>
      <w:r w:rsidRPr="00AB690C">
        <w:rPr>
          <w:rFonts w:ascii="Times New Roman" w:hAnsi="Times New Roman" w:cs="Times New Roman"/>
          <w:bCs/>
          <w:sz w:val="28"/>
          <w:szCs w:val="28"/>
        </w:rPr>
        <w:t>Исихастская</w:t>
      </w:r>
      <w:proofErr w:type="spellEnd"/>
      <w:r w:rsidRPr="00AB690C">
        <w:rPr>
          <w:rFonts w:ascii="Times New Roman" w:hAnsi="Times New Roman" w:cs="Times New Roman"/>
          <w:bCs/>
          <w:sz w:val="28"/>
          <w:szCs w:val="28"/>
        </w:rPr>
        <w:t xml:space="preserve"> антропология как основа деконструкции идеологий пост -и </w:t>
      </w:r>
      <w:r>
        <w:rPr>
          <w:rFonts w:ascii="Times New Roman" w:hAnsi="Times New Roman" w:cs="Times New Roman"/>
          <w:bCs/>
          <w:sz w:val="28"/>
          <w:szCs w:val="28"/>
        </w:rPr>
        <w:t>–</w:t>
      </w:r>
      <w:r w:rsidRPr="00AB690C">
        <w:rPr>
          <w:rFonts w:ascii="Times New Roman" w:hAnsi="Times New Roman" w:cs="Times New Roman"/>
          <w:bCs/>
          <w:sz w:val="28"/>
          <w:szCs w:val="28"/>
        </w:rPr>
        <w:t xml:space="preserve"> трансгуманизма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71A94602" w14:textId="77B3C975" w:rsidR="00AB690C" w:rsidRDefault="00AB690C" w:rsidP="00F96226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B690C">
        <w:rPr>
          <w:rFonts w:ascii="Times New Roman" w:hAnsi="Times New Roman" w:cs="Times New Roman"/>
          <w:bCs/>
          <w:sz w:val="28"/>
          <w:szCs w:val="28"/>
        </w:rPr>
        <w:t>4. Социально-философские экспликации учения Р</w:t>
      </w:r>
      <w:r>
        <w:rPr>
          <w:rFonts w:ascii="Times New Roman" w:hAnsi="Times New Roman" w:cs="Times New Roman"/>
          <w:bCs/>
          <w:sz w:val="28"/>
          <w:szCs w:val="28"/>
        </w:rPr>
        <w:t xml:space="preserve">усской </w:t>
      </w:r>
      <w:r w:rsidRPr="00AB690C">
        <w:rPr>
          <w:rFonts w:ascii="Times New Roman" w:hAnsi="Times New Roman" w:cs="Times New Roman"/>
          <w:bCs/>
          <w:sz w:val="28"/>
          <w:szCs w:val="28"/>
        </w:rPr>
        <w:t>П</w:t>
      </w:r>
      <w:r>
        <w:rPr>
          <w:rFonts w:ascii="Times New Roman" w:hAnsi="Times New Roman" w:cs="Times New Roman"/>
          <w:bCs/>
          <w:sz w:val="28"/>
          <w:szCs w:val="28"/>
        </w:rPr>
        <w:t xml:space="preserve">равославной </w:t>
      </w:r>
      <w:r w:rsidRPr="00AB690C">
        <w:rPr>
          <w:rFonts w:ascii="Times New Roman" w:hAnsi="Times New Roman" w:cs="Times New Roman"/>
          <w:bCs/>
          <w:sz w:val="28"/>
          <w:szCs w:val="28"/>
        </w:rPr>
        <w:t>Ц</w:t>
      </w:r>
      <w:r>
        <w:rPr>
          <w:rFonts w:ascii="Times New Roman" w:hAnsi="Times New Roman" w:cs="Times New Roman"/>
          <w:bCs/>
          <w:sz w:val="28"/>
          <w:szCs w:val="28"/>
        </w:rPr>
        <w:t>еркви</w:t>
      </w:r>
      <w:r w:rsidRPr="00AB690C">
        <w:rPr>
          <w:rFonts w:ascii="Times New Roman" w:hAnsi="Times New Roman" w:cs="Times New Roman"/>
          <w:bCs/>
          <w:sz w:val="28"/>
          <w:szCs w:val="28"/>
        </w:rPr>
        <w:t xml:space="preserve"> о достоинстве и правах человека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68BF78B4" w14:textId="5590347D" w:rsidR="00AB690C" w:rsidRDefault="00AB690C" w:rsidP="00F96226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B690C">
        <w:rPr>
          <w:rFonts w:ascii="Times New Roman" w:hAnsi="Times New Roman" w:cs="Times New Roman"/>
          <w:bCs/>
          <w:sz w:val="28"/>
          <w:szCs w:val="28"/>
        </w:rPr>
        <w:t xml:space="preserve">5. Богословский и социально-философский потенциал концепции </w:t>
      </w:r>
      <w:proofErr w:type="spellStart"/>
      <w:r w:rsidRPr="00AB690C">
        <w:rPr>
          <w:rFonts w:ascii="Times New Roman" w:hAnsi="Times New Roman" w:cs="Times New Roman"/>
          <w:bCs/>
          <w:sz w:val="28"/>
          <w:szCs w:val="28"/>
        </w:rPr>
        <w:t>неопатристического</w:t>
      </w:r>
      <w:proofErr w:type="spellEnd"/>
      <w:r w:rsidRPr="00AB690C">
        <w:rPr>
          <w:rFonts w:ascii="Times New Roman" w:hAnsi="Times New Roman" w:cs="Times New Roman"/>
          <w:bCs/>
          <w:sz w:val="28"/>
          <w:szCs w:val="28"/>
        </w:rPr>
        <w:t xml:space="preserve"> синтеза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2AFD5616" w14:textId="77777777" w:rsidR="00AB690C" w:rsidRDefault="00AB690C" w:rsidP="00F96226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6. </w:t>
      </w:r>
      <w:proofErr w:type="spellStart"/>
      <w:r w:rsidRPr="00AB690C">
        <w:rPr>
          <w:rFonts w:ascii="Times New Roman" w:hAnsi="Times New Roman" w:cs="Times New Roman"/>
          <w:bCs/>
          <w:sz w:val="28"/>
          <w:szCs w:val="28"/>
        </w:rPr>
        <w:t>Апофатизм</w:t>
      </w:r>
      <w:proofErr w:type="spellEnd"/>
      <w:r w:rsidRPr="00AB690C">
        <w:rPr>
          <w:rFonts w:ascii="Times New Roman" w:hAnsi="Times New Roman" w:cs="Times New Roman"/>
          <w:bCs/>
          <w:sz w:val="28"/>
          <w:szCs w:val="28"/>
        </w:rPr>
        <w:t xml:space="preserve"> и феноменология Мишеля Анри: границы «невыразимого».</w:t>
      </w:r>
      <w:r w:rsidRPr="00AB690C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45E04A5F" w14:textId="20410C3C" w:rsidR="00AB690C" w:rsidRDefault="00AB690C" w:rsidP="00F96226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7</w:t>
      </w:r>
      <w:r w:rsidRPr="00AB690C">
        <w:rPr>
          <w:rFonts w:ascii="Times New Roman" w:hAnsi="Times New Roman" w:cs="Times New Roman"/>
          <w:bCs/>
          <w:sz w:val="28"/>
          <w:szCs w:val="28"/>
        </w:rPr>
        <w:t xml:space="preserve">. Критика концепции «Троичной онтологии» Иоанна </w:t>
      </w:r>
      <w:proofErr w:type="spellStart"/>
      <w:r w:rsidRPr="00AB690C">
        <w:rPr>
          <w:rFonts w:ascii="Times New Roman" w:hAnsi="Times New Roman" w:cs="Times New Roman"/>
          <w:bCs/>
          <w:sz w:val="28"/>
          <w:szCs w:val="28"/>
        </w:rPr>
        <w:t>Зизиуласа</w:t>
      </w:r>
      <w:proofErr w:type="spellEnd"/>
      <w:r w:rsidRPr="00AB690C">
        <w:rPr>
          <w:rFonts w:ascii="Times New Roman" w:hAnsi="Times New Roman" w:cs="Times New Roman"/>
          <w:bCs/>
          <w:sz w:val="28"/>
          <w:szCs w:val="28"/>
        </w:rPr>
        <w:t xml:space="preserve"> с позиций классического </w:t>
      </w:r>
      <w:proofErr w:type="spellStart"/>
      <w:r w:rsidRPr="00AB690C">
        <w:rPr>
          <w:rFonts w:ascii="Times New Roman" w:hAnsi="Times New Roman" w:cs="Times New Roman"/>
          <w:bCs/>
          <w:sz w:val="28"/>
          <w:szCs w:val="28"/>
        </w:rPr>
        <w:t>паламизма</w:t>
      </w:r>
      <w:proofErr w:type="spellEnd"/>
      <w:r w:rsidRPr="00AB690C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53156FD8" w14:textId="77A002ED" w:rsidR="00AB690C" w:rsidRDefault="00AB690C" w:rsidP="00F96226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8</w:t>
      </w:r>
      <w:r w:rsidRPr="00AB690C">
        <w:rPr>
          <w:rFonts w:ascii="Times New Roman" w:hAnsi="Times New Roman" w:cs="Times New Roman"/>
          <w:bCs/>
          <w:sz w:val="28"/>
          <w:szCs w:val="28"/>
        </w:rPr>
        <w:t xml:space="preserve">. Проблема времени и вечности в философии Алексея Лосева и богословии </w:t>
      </w:r>
      <w:proofErr w:type="spellStart"/>
      <w:r w:rsidRPr="00AB690C">
        <w:rPr>
          <w:rFonts w:ascii="Times New Roman" w:hAnsi="Times New Roman" w:cs="Times New Roman"/>
          <w:bCs/>
          <w:sz w:val="28"/>
          <w:szCs w:val="28"/>
        </w:rPr>
        <w:t>свт</w:t>
      </w:r>
      <w:proofErr w:type="spellEnd"/>
      <w:r w:rsidRPr="00AB690C">
        <w:rPr>
          <w:rFonts w:ascii="Times New Roman" w:hAnsi="Times New Roman" w:cs="Times New Roman"/>
          <w:bCs/>
          <w:sz w:val="28"/>
          <w:szCs w:val="28"/>
        </w:rPr>
        <w:t xml:space="preserve">. Григория </w:t>
      </w:r>
      <w:proofErr w:type="spellStart"/>
      <w:r w:rsidRPr="00AB690C">
        <w:rPr>
          <w:rFonts w:ascii="Times New Roman" w:hAnsi="Times New Roman" w:cs="Times New Roman"/>
          <w:bCs/>
          <w:sz w:val="28"/>
          <w:szCs w:val="28"/>
        </w:rPr>
        <w:t>Паламы</w:t>
      </w:r>
      <w:proofErr w:type="spellEnd"/>
      <w:r w:rsidRPr="00AB690C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358B6BF6" w14:textId="39AB75E5" w:rsidR="00AB690C" w:rsidRDefault="00AB690C" w:rsidP="00F96226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9</w:t>
      </w:r>
      <w:r w:rsidRPr="00AB690C">
        <w:rPr>
          <w:rFonts w:ascii="Times New Roman" w:hAnsi="Times New Roman" w:cs="Times New Roman"/>
          <w:bCs/>
          <w:sz w:val="28"/>
          <w:szCs w:val="28"/>
        </w:rPr>
        <w:t>. Концепция «ипостасной воли» во Христе: от Максима Исповедника к современной нейроэтике.</w:t>
      </w:r>
    </w:p>
    <w:p w14:paraId="7CCEF565" w14:textId="562E3934" w:rsidR="00AB690C" w:rsidRDefault="00AB690C" w:rsidP="00F96226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10</w:t>
      </w:r>
      <w:r w:rsidRPr="00AB690C">
        <w:rPr>
          <w:rFonts w:ascii="Times New Roman" w:hAnsi="Times New Roman" w:cs="Times New Roman"/>
          <w:bCs/>
          <w:sz w:val="28"/>
          <w:szCs w:val="28"/>
        </w:rPr>
        <w:t xml:space="preserve">. Границы медицинской власти: танатология и православное понимание смерти. </w:t>
      </w:r>
    </w:p>
    <w:p w14:paraId="67CC45DD" w14:textId="7488694E" w:rsidR="00AB690C" w:rsidRDefault="00AB690C" w:rsidP="00F96226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11</w:t>
      </w:r>
      <w:r w:rsidRPr="00AB690C">
        <w:rPr>
          <w:rFonts w:ascii="Times New Roman" w:hAnsi="Times New Roman" w:cs="Times New Roman"/>
          <w:bCs/>
          <w:sz w:val="28"/>
          <w:szCs w:val="28"/>
        </w:rPr>
        <w:t>. Х</w:t>
      </w:r>
      <w:proofErr w:type="spellStart"/>
      <w:r w:rsidRPr="00AB690C">
        <w:rPr>
          <w:rFonts w:ascii="Times New Roman" w:hAnsi="Times New Roman" w:cs="Times New Roman"/>
          <w:bCs/>
          <w:sz w:val="28"/>
          <w:szCs w:val="28"/>
        </w:rPr>
        <w:t>ристологический</w:t>
      </w:r>
      <w:proofErr w:type="spellEnd"/>
      <w:r w:rsidRPr="00AB690C">
        <w:rPr>
          <w:rFonts w:ascii="Times New Roman" w:hAnsi="Times New Roman" w:cs="Times New Roman"/>
          <w:bCs/>
          <w:sz w:val="28"/>
          <w:szCs w:val="28"/>
        </w:rPr>
        <w:t xml:space="preserve"> персонализм и «лицо Другого» Эмманюэля </w:t>
      </w:r>
      <w:proofErr w:type="spellStart"/>
      <w:r w:rsidRPr="00AB690C">
        <w:rPr>
          <w:rFonts w:ascii="Times New Roman" w:hAnsi="Times New Roman" w:cs="Times New Roman"/>
          <w:bCs/>
          <w:sz w:val="28"/>
          <w:szCs w:val="28"/>
        </w:rPr>
        <w:t>Левинаса</w:t>
      </w:r>
      <w:proofErr w:type="spellEnd"/>
      <w:r w:rsidRPr="00AB690C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039D7A5B" w14:textId="4B339B15" w:rsidR="00AB690C" w:rsidRDefault="00AB690C" w:rsidP="00F96226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12</w:t>
      </w:r>
      <w:r w:rsidRPr="00AB690C">
        <w:rPr>
          <w:rFonts w:ascii="Times New Roman" w:hAnsi="Times New Roman" w:cs="Times New Roman"/>
          <w:bCs/>
          <w:sz w:val="28"/>
          <w:szCs w:val="28"/>
        </w:rPr>
        <w:t>. С</w:t>
      </w:r>
      <w:proofErr w:type="spellStart"/>
      <w:r w:rsidRPr="00AB690C">
        <w:rPr>
          <w:rFonts w:ascii="Times New Roman" w:hAnsi="Times New Roman" w:cs="Times New Roman"/>
          <w:bCs/>
          <w:sz w:val="28"/>
          <w:szCs w:val="28"/>
        </w:rPr>
        <w:t>офиология</w:t>
      </w:r>
      <w:proofErr w:type="spellEnd"/>
      <w:r w:rsidRPr="00AB690C">
        <w:rPr>
          <w:rFonts w:ascii="Times New Roman" w:hAnsi="Times New Roman" w:cs="Times New Roman"/>
          <w:bCs/>
          <w:sz w:val="28"/>
          <w:szCs w:val="28"/>
        </w:rPr>
        <w:t xml:space="preserve"> Сергея Булгакова как вызов метафизике: между пантеизмом и библейским реализмом. </w:t>
      </w:r>
    </w:p>
    <w:p w14:paraId="054B5B34" w14:textId="67183311" w:rsidR="00AB690C" w:rsidRDefault="00AB690C" w:rsidP="00F96226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13</w:t>
      </w:r>
      <w:r w:rsidRPr="00AB690C">
        <w:rPr>
          <w:rFonts w:ascii="Times New Roman" w:hAnsi="Times New Roman" w:cs="Times New Roman"/>
          <w:bCs/>
          <w:sz w:val="28"/>
          <w:szCs w:val="28"/>
        </w:rPr>
        <w:t xml:space="preserve">. «Болезнь к смерти»: философия отчаяния у </w:t>
      </w:r>
      <w:proofErr w:type="spellStart"/>
      <w:r w:rsidRPr="00AB690C">
        <w:rPr>
          <w:rFonts w:ascii="Times New Roman" w:hAnsi="Times New Roman" w:cs="Times New Roman"/>
          <w:bCs/>
          <w:sz w:val="28"/>
          <w:szCs w:val="28"/>
        </w:rPr>
        <w:t>Сёрена</w:t>
      </w:r>
      <w:proofErr w:type="spellEnd"/>
      <w:r w:rsidRPr="00AB690C">
        <w:rPr>
          <w:rFonts w:ascii="Times New Roman" w:hAnsi="Times New Roman" w:cs="Times New Roman"/>
          <w:bCs/>
          <w:sz w:val="28"/>
          <w:szCs w:val="28"/>
        </w:rPr>
        <w:t xml:space="preserve"> Кьеркегора и православное учение о смирении. </w:t>
      </w:r>
    </w:p>
    <w:p w14:paraId="41FBBC26" w14:textId="6263EDD4" w:rsidR="00AB690C" w:rsidRDefault="00AB690C" w:rsidP="00F96226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14</w:t>
      </w:r>
      <w:r w:rsidRPr="00AB690C">
        <w:rPr>
          <w:rFonts w:ascii="Times New Roman" w:hAnsi="Times New Roman" w:cs="Times New Roman"/>
          <w:bCs/>
          <w:sz w:val="28"/>
          <w:szCs w:val="28"/>
        </w:rPr>
        <w:t xml:space="preserve">. Эпистемология веры: философия поступка у Михаила Бахтина как инструмент для литургического богословия. </w:t>
      </w:r>
    </w:p>
    <w:p w14:paraId="35BA4667" w14:textId="77E568F2" w:rsidR="00AB690C" w:rsidRPr="00AB690C" w:rsidRDefault="00AB690C" w:rsidP="00F96226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B690C">
        <w:rPr>
          <w:rFonts w:ascii="Times New Roman" w:hAnsi="Times New Roman" w:cs="Times New Roman"/>
          <w:bCs/>
          <w:sz w:val="28"/>
          <w:szCs w:val="28"/>
        </w:rPr>
        <w:t>1</w:t>
      </w:r>
      <w:r>
        <w:rPr>
          <w:rFonts w:ascii="Times New Roman" w:hAnsi="Times New Roman" w:cs="Times New Roman"/>
          <w:bCs/>
          <w:sz w:val="28"/>
          <w:szCs w:val="28"/>
        </w:rPr>
        <w:t>5</w:t>
      </w:r>
      <w:r w:rsidRPr="00AB690C">
        <w:rPr>
          <w:rFonts w:ascii="Times New Roman" w:hAnsi="Times New Roman" w:cs="Times New Roman"/>
          <w:bCs/>
          <w:sz w:val="28"/>
          <w:szCs w:val="28"/>
        </w:rPr>
        <w:t>. Теодицея после ХХ века: от метафизического бунта к со-распятию.</w:t>
      </w:r>
    </w:p>
    <w:p w14:paraId="6368FE7E" w14:textId="77777777" w:rsidR="00AB690C" w:rsidRDefault="00AB690C" w:rsidP="00F96226">
      <w:pPr>
        <w:spacing w:after="0"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18793476" w14:textId="36F801C7" w:rsidR="00AB690C" w:rsidRPr="00AB690C" w:rsidRDefault="00AB690C" w:rsidP="00F96226">
      <w:pPr>
        <w:spacing w:after="0"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AB690C">
        <w:rPr>
          <w:rFonts w:ascii="Times New Roman" w:hAnsi="Times New Roman" w:cs="Times New Roman"/>
          <w:b/>
          <w:sz w:val="32"/>
          <w:szCs w:val="32"/>
        </w:rPr>
        <w:t>5.11.</w:t>
      </w:r>
      <w:r w:rsidRPr="00AB690C">
        <w:rPr>
          <w:rFonts w:ascii="Times New Roman" w:hAnsi="Times New Roman" w:cs="Times New Roman"/>
          <w:b/>
          <w:sz w:val="32"/>
          <w:szCs w:val="32"/>
        </w:rPr>
        <w:t>2</w:t>
      </w:r>
      <w:r w:rsidRPr="00AB690C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AB690C">
        <w:rPr>
          <w:rFonts w:ascii="Times New Roman" w:hAnsi="Times New Roman" w:cs="Times New Roman"/>
          <w:b/>
          <w:sz w:val="32"/>
          <w:szCs w:val="32"/>
        </w:rPr>
        <w:t>Историческая</w:t>
      </w:r>
      <w:r w:rsidRPr="00AB690C">
        <w:rPr>
          <w:rFonts w:ascii="Times New Roman" w:hAnsi="Times New Roman" w:cs="Times New Roman"/>
          <w:b/>
          <w:sz w:val="32"/>
          <w:szCs w:val="32"/>
        </w:rPr>
        <w:t xml:space="preserve"> теология</w:t>
      </w:r>
    </w:p>
    <w:p w14:paraId="68EBE5D2" w14:textId="5E510976" w:rsidR="00AB690C" w:rsidRPr="00AB690C" w:rsidRDefault="00AB690C" w:rsidP="00F96226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AB690C">
        <w:rPr>
          <w:rFonts w:ascii="Times New Roman" w:hAnsi="Times New Roman" w:cs="Times New Roman"/>
          <w:b/>
          <w:bCs/>
          <w:sz w:val="32"/>
          <w:szCs w:val="32"/>
        </w:rPr>
        <w:t>Направления исследований:</w:t>
      </w:r>
    </w:p>
    <w:p w14:paraId="3CDC8DB2" w14:textId="77777777" w:rsidR="00AB690C" w:rsidRDefault="00AB690C" w:rsidP="00F962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История Русской Церкви в Синодальный период и в советское время. Общецерковный и региональный уровни.</w:t>
      </w:r>
    </w:p>
    <w:p w14:paraId="7434A86C" w14:textId="77777777" w:rsidR="00AB690C" w:rsidRDefault="00AB690C" w:rsidP="00F962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государственно-церковные отношения;</w:t>
      </w:r>
    </w:p>
    <w:p w14:paraId="232E315F" w14:textId="77777777" w:rsidR="00AB690C" w:rsidRDefault="00AB690C" w:rsidP="00F962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высшее и епархиальное управление;</w:t>
      </w:r>
    </w:p>
    <w:p w14:paraId="3E28BFFC" w14:textId="77777777" w:rsidR="00AB690C" w:rsidRDefault="00AB690C" w:rsidP="00F962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монастырская и приходская жизнь;</w:t>
      </w:r>
    </w:p>
    <w:p w14:paraId="3C5A0269" w14:textId="77777777" w:rsidR="00AB690C" w:rsidRDefault="00AB690C" w:rsidP="00F962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церковные Соборы, обстоятельства деятельности и решения;</w:t>
      </w:r>
    </w:p>
    <w:p w14:paraId="641B4425" w14:textId="77777777" w:rsidR="00AB690C" w:rsidRDefault="00AB690C" w:rsidP="00F962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святые и святыни;</w:t>
      </w:r>
    </w:p>
    <w:p w14:paraId="05121CA8" w14:textId="77777777" w:rsidR="00AB690C" w:rsidRDefault="00AB690C" w:rsidP="00F962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источниковедение и историография по церковной истории.</w:t>
      </w:r>
    </w:p>
    <w:p w14:paraId="22E20B03" w14:textId="77777777" w:rsidR="00AB690C" w:rsidRDefault="00AB690C" w:rsidP="00F962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История духовного образования. История Казанской духовной академии.</w:t>
      </w:r>
    </w:p>
    <w:p w14:paraId="54CD2B7C" w14:textId="77777777" w:rsidR="00AB690C" w:rsidRDefault="00AB690C" w:rsidP="00F962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история духовных академий, семинарий, училищ;</w:t>
      </w:r>
    </w:p>
    <w:p w14:paraId="5E0A1321" w14:textId="77777777" w:rsidR="00AB690C" w:rsidRDefault="00AB690C" w:rsidP="00F962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и развитие церковной науки;</w:t>
      </w:r>
    </w:p>
    <w:p w14:paraId="438CC615" w14:textId="77777777" w:rsidR="00AB690C" w:rsidRDefault="00AB690C" w:rsidP="00F962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научные школы в духовных академиях;</w:t>
      </w:r>
    </w:p>
    <w:p w14:paraId="0A97FF74" w14:textId="77777777" w:rsidR="00AB690C" w:rsidRDefault="00AB690C" w:rsidP="00F962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профессора и воспитанники духовных школ – биографические сведения, научные и преподавательские труды.</w:t>
      </w:r>
    </w:p>
    <w:p w14:paraId="042FC73B" w14:textId="77777777" w:rsidR="00AB690C" w:rsidRDefault="00AB690C" w:rsidP="00F962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История христианства в Казанском крае. История православной миссии. Церковное краеведение.</w:t>
      </w:r>
    </w:p>
    <w:p w14:paraId="37FADDDA" w14:textId="77777777" w:rsidR="00AB690C" w:rsidRDefault="00AB690C" w:rsidP="00F962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архиереи, священнослужители и церковные деятели – биографические сведения, научная, богослужебная, просветительская деятельность;</w:t>
      </w:r>
    </w:p>
    <w:p w14:paraId="2E1DCF9C" w14:textId="77777777" w:rsidR="00AB690C" w:rsidRDefault="00AB690C" w:rsidP="00F962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история монастырей и храмов;</w:t>
      </w:r>
    </w:p>
    <w:p w14:paraId="48B25E3A" w14:textId="77777777" w:rsidR="00AB690C" w:rsidRPr="00482E48" w:rsidRDefault="00AB690C" w:rsidP="00F962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православная миссия среди народов Среднего Поволжья.</w:t>
      </w:r>
    </w:p>
    <w:p w14:paraId="0886B1AA" w14:textId="77777777" w:rsidR="00AB690C" w:rsidRPr="00AB690C" w:rsidRDefault="00AB690C" w:rsidP="00F96226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D67BA38" w14:textId="21F7313C" w:rsidR="00AB690C" w:rsidRPr="00AB690C" w:rsidRDefault="00AB690C" w:rsidP="00F96226">
      <w:pPr>
        <w:spacing w:after="0"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AB690C">
        <w:rPr>
          <w:rFonts w:ascii="Times New Roman" w:hAnsi="Times New Roman" w:cs="Times New Roman"/>
          <w:b/>
          <w:sz w:val="32"/>
          <w:szCs w:val="32"/>
        </w:rPr>
        <w:lastRenderedPageBreak/>
        <w:t>5.11.</w:t>
      </w:r>
      <w:r w:rsidRPr="00AB690C">
        <w:rPr>
          <w:rFonts w:ascii="Times New Roman" w:hAnsi="Times New Roman" w:cs="Times New Roman"/>
          <w:b/>
          <w:sz w:val="32"/>
          <w:szCs w:val="32"/>
        </w:rPr>
        <w:t>3</w:t>
      </w:r>
      <w:r w:rsidRPr="00AB690C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AB690C">
        <w:rPr>
          <w:rFonts w:ascii="Times New Roman" w:hAnsi="Times New Roman" w:cs="Times New Roman"/>
          <w:b/>
          <w:sz w:val="32"/>
          <w:szCs w:val="32"/>
        </w:rPr>
        <w:t xml:space="preserve">Практическая </w:t>
      </w:r>
      <w:r w:rsidRPr="00AB690C">
        <w:rPr>
          <w:rFonts w:ascii="Times New Roman" w:hAnsi="Times New Roman" w:cs="Times New Roman"/>
          <w:b/>
          <w:sz w:val="32"/>
          <w:szCs w:val="32"/>
        </w:rPr>
        <w:t>теология</w:t>
      </w:r>
    </w:p>
    <w:p w14:paraId="52B4511E" w14:textId="77777777" w:rsidR="00AB690C" w:rsidRDefault="00AB690C" w:rsidP="00F96226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FD51B9E" w14:textId="77777777" w:rsidR="00AB690C" w:rsidRDefault="00AB690C" w:rsidP="00F96226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B690C">
        <w:rPr>
          <w:rFonts w:ascii="Times New Roman" w:hAnsi="Times New Roman" w:cs="Times New Roman"/>
          <w:bCs/>
          <w:sz w:val="28"/>
          <w:szCs w:val="28"/>
        </w:rPr>
        <w:t xml:space="preserve">1. Трансформация системы исламского образования в Узбекистане. </w:t>
      </w:r>
    </w:p>
    <w:p w14:paraId="094EFB2A" w14:textId="77777777" w:rsidR="00AB690C" w:rsidRDefault="00AB690C" w:rsidP="00F96226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B690C">
        <w:rPr>
          <w:rFonts w:ascii="Times New Roman" w:hAnsi="Times New Roman" w:cs="Times New Roman"/>
          <w:bCs/>
          <w:sz w:val="28"/>
          <w:szCs w:val="28"/>
        </w:rPr>
        <w:t>2. Государственная регламентация исламской обрядности и деятельности исламских организаций в Таджикистане.</w:t>
      </w:r>
    </w:p>
    <w:p w14:paraId="178B220A" w14:textId="77777777" w:rsidR="00AB690C" w:rsidRDefault="00AB690C" w:rsidP="00F96226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B690C">
        <w:rPr>
          <w:rFonts w:ascii="Times New Roman" w:hAnsi="Times New Roman" w:cs="Times New Roman"/>
          <w:bCs/>
          <w:sz w:val="28"/>
          <w:szCs w:val="28"/>
        </w:rPr>
        <w:t xml:space="preserve">3. Государственная регламентация исламской обрядности и деятельности исламских организаций в Узбекистане. </w:t>
      </w:r>
    </w:p>
    <w:p w14:paraId="0594818C" w14:textId="77777777" w:rsidR="00AB690C" w:rsidRDefault="00AB690C" w:rsidP="00F96226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B690C">
        <w:rPr>
          <w:rFonts w:ascii="Times New Roman" w:hAnsi="Times New Roman" w:cs="Times New Roman"/>
          <w:bCs/>
          <w:sz w:val="28"/>
          <w:szCs w:val="28"/>
        </w:rPr>
        <w:t>4. Доцент Казанской духовной академии Николай Петрович Остроумов: миссионер и исламовед.</w:t>
      </w:r>
    </w:p>
    <w:p w14:paraId="180A4F87" w14:textId="5962B57A" w:rsidR="00AB690C" w:rsidRPr="00AB690C" w:rsidRDefault="00F96226" w:rsidP="00F96226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5. </w:t>
      </w:r>
      <w:r w:rsidR="00AB690C" w:rsidRPr="00AB690C">
        <w:rPr>
          <w:rFonts w:ascii="Times New Roman" w:hAnsi="Times New Roman" w:cs="Times New Roman"/>
          <w:bCs/>
          <w:sz w:val="28"/>
          <w:szCs w:val="28"/>
        </w:rPr>
        <w:t xml:space="preserve">Профессор Казанской духовной академии Пантелеймон </w:t>
      </w:r>
      <w:proofErr w:type="spellStart"/>
      <w:r w:rsidR="00AB690C" w:rsidRPr="00AB690C">
        <w:rPr>
          <w:rFonts w:ascii="Times New Roman" w:hAnsi="Times New Roman" w:cs="Times New Roman"/>
          <w:bCs/>
          <w:sz w:val="28"/>
          <w:szCs w:val="28"/>
        </w:rPr>
        <w:t>Крестович</w:t>
      </w:r>
      <w:proofErr w:type="spellEnd"/>
      <w:r w:rsidR="00AB690C" w:rsidRPr="00AB690C">
        <w:rPr>
          <w:rFonts w:ascii="Times New Roman" w:hAnsi="Times New Roman" w:cs="Times New Roman"/>
          <w:bCs/>
          <w:sz w:val="28"/>
          <w:szCs w:val="28"/>
        </w:rPr>
        <w:t xml:space="preserve"> Жузе: арабист и миссионер-полемист.</w:t>
      </w:r>
    </w:p>
    <w:p w14:paraId="6A98C536" w14:textId="77777777" w:rsidR="00AB690C" w:rsidRPr="00482E48" w:rsidRDefault="00AB690C" w:rsidP="00F962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B690C" w:rsidRPr="00482E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E48"/>
    <w:rsid w:val="0005457B"/>
    <w:rsid w:val="00482E48"/>
    <w:rsid w:val="0049485E"/>
    <w:rsid w:val="009832C1"/>
    <w:rsid w:val="009A149A"/>
    <w:rsid w:val="00AB690C"/>
    <w:rsid w:val="00B841C8"/>
    <w:rsid w:val="00E6010D"/>
    <w:rsid w:val="00F96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11BF8"/>
  <w15:chartTrackingRefBased/>
  <w15:docId w15:val="{A26D46BB-BA3B-46E4-8900-CEF749EA6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2E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RePack by Diakov</cp:lastModifiedBy>
  <cp:revision>3</cp:revision>
  <dcterms:created xsi:type="dcterms:W3CDTF">2026-05-12T09:34:00Z</dcterms:created>
  <dcterms:modified xsi:type="dcterms:W3CDTF">2026-05-12T19:03:00Z</dcterms:modified>
</cp:coreProperties>
</file>